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/>
          <w:sz w:val="6"/>
          <w:szCs w:val="6"/>
          <w:lang w:eastAsia="zh-CN"/>
        </w:rPr>
      </w:pPr>
    </w:p>
    <w:p>
      <w:pPr>
        <w:snapToGrid w:val="0"/>
        <w:jc w:val="center"/>
        <w:rPr>
          <w:rFonts w:hint="eastAsia"/>
          <w:sz w:val="6"/>
          <w:szCs w:val="6"/>
          <w:lang w:eastAsia="zh-CN"/>
        </w:rPr>
      </w:pPr>
    </w:p>
    <w:p>
      <w:pPr>
        <w:snapToGrid w:val="0"/>
        <w:jc w:val="center"/>
        <w:rPr>
          <w:rFonts w:hint="eastAsia"/>
          <w:sz w:val="6"/>
          <w:szCs w:val="6"/>
        </w:rPr>
      </w:pPr>
    </w:p>
    <w:p>
      <w:pPr>
        <w:snapToGrid w:val="0"/>
        <w:jc w:val="center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上海建桥学院</w:t>
      </w:r>
      <w:r>
        <w:rPr>
          <w:rFonts w:hint="eastAsia" w:asci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hint="eastAsia" w:asci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hint="eastAsia" w:asci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eastAsia="仿宋"/>
          <w:b/>
          <w:color w:val="000000"/>
          <w:sz w:val="28"/>
          <w:szCs w:val="28"/>
          <w:lang w:eastAsia="zh-CN"/>
        </w:rPr>
        <w:t>一、基本信息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微软雅黑"/>
                <w:color w:val="000000"/>
                <w:kern w:val="0"/>
                <w:szCs w:val="21"/>
              </w:rPr>
              <w:t>2040657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/>
                <w:kern w:val="0"/>
                <w:sz w:val="21"/>
                <w:szCs w:val="21"/>
              </w:rPr>
            </w:pPr>
            <w:r>
              <w:rPr>
                <w:rFonts w:hint="eastAsia" w:ascii="宋体"/>
                <w:kern w:val="0"/>
                <w:sz w:val="21"/>
                <w:szCs w:val="21"/>
              </w:rPr>
              <w:t>动画背景表现技法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冯平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Peggy_feng@163.com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上课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0"/>
                <w:szCs w:val="20"/>
              </w:rPr>
              <w:t>数艺(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中日</w:t>
            </w:r>
            <w:r>
              <w:rPr>
                <w:rFonts w:hint="eastAsia" w:ascii="宋体"/>
                <w:sz w:val="20"/>
                <w:szCs w:val="20"/>
              </w:rPr>
              <w:t>)B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21</w:t>
            </w:r>
            <w:r>
              <w:rPr>
                <w:rFonts w:hint="eastAsia" w:ascii="宋体"/>
                <w:sz w:val="20"/>
                <w:szCs w:val="20"/>
              </w:rPr>
              <w:t>-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1/2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/>
                <w:kern w:val="0"/>
                <w:sz w:val="21"/>
                <w:szCs w:val="21"/>
                <w:lang w:eastAsia="zh-CN"/>
              </w:rPr>
              <w:t xml:space="preserve"> : </w:t>
            </w:r>
            <w:r>
              <w:rPr>
                <w:rFonts w:ascii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/>
                <w:kern w:val="0"/>
                <w:sz w:val="21"/>
                <w:szCs w:val="21"/>
                <w:lang w:eastAsia="zh-CN"/>
              </w:rPr>
              <w:t>-16周 周</w:t>
            </w:r>
            <w:r>
              <w:rPr>
                <w:rFonts w:ascii="宋体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/>
                <w:kern w:val="0"/>
                <w:sz w:val="21"/>
                <w:szCs w:val="21"/>
                <w:lang w:eastAsia="zh-CN"/>
              </w:rPr>
              <w:t>中午12：15-12：</w:t>
            </w:r>
            <w:r>
              <w:rPr>
                <w:rFonts w:ascii="宋体"/>
                <w:kern w:val="0"/>
                <w:sz w:val="21"/>
                <w:szCs w:val="21"/>
                <w:lang w:eastAsia="zh-CN"/>
              </w:rPr>
              <w:t>40</w:t>
            </w:r>
            <w:r>
              <w:rPr>
                <w:rFonts w:hint="eastAsia" w:ascii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/>
                <w:kern w:val="0"/>
                <w:sz w:val="21"/>
                <w:szCs w:val="21"/>
              </w:rPr>
              <w:t>地点:   3341    电话：</w:t>
            </w:r>
            <w:r>
              <w:rPr>
                <w:rFonts w:hint="eastAsia" w:ascii="宋体"/>
                <w:kern w:val="0"/>
                <w:sz w:val="21"/>
                <w:szCs w:val="21"/>
                <w:lang w:eastAsia="zh-CN"/>
              </w:rPr>
              <w:t>13901847611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ind w:left="-1558" w:right="-119" w:firstLine="13"/>
              <w:rPr>
                <w:rFonts w:hint="eastAsia" w:asci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/>
                <w:kern w:val="0"/>
                <w:sz w:val="21"/>
                <w:szCs w:val="21"/>
                <w:lang w:eastAsia="zh-CN"/>
              </w:rPr>
              <w:t>动漫场景设计</w:t>
            </w:r>
            <w:bookmarkStart w:id="0" w:name="__infodetail_pub"/>
            <w:r>
              <w:rPr>
                <w:rFonts w:hint="eastAsia" w:ascii="宋体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/>
                <w:kern w:val="0"/>
                <w:sz w:val="21"/>
                <w:szCs w:val="21"/>
                <w:lang w:eastAsia="zh-CN"/>
              </w:rPr>
              <w:t>动漫场景设计</w:t>
            </w:r>
            <w:r>
              <w:rPr>
                <w:rFonts w:hint="eastAsia" w:ascii="宋体"/>
                <w:color w:val="000000"/>
                <w:sz w:val="20"/>
                <w:szCs w:val="20"/>
                <w:lang w:eastAsia="zh-CN"/>
              </w:rPr>
              <w:t>》 编著：</w:t>
            </w:r>
            <w:r>
              <w:rPr>
                <w:rFonts w:ascii="宋体"/>
                <w:sz w:val="20"/>
                <w:szCs w:val="20"/>
                <w:lang w:eastAsia="zh-CN"/>
              </w:rPr>
              <w:t>张晓波 梁磊</w:t>
            </w:r>
            <w:r>
              <w:rPr>
                <w:rFonts w:hint="eastAsia" w:ascii="宋体"/>
                <w:b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0"/>
                <w:szCs w:val="20"/>
                <w:lang w:eastAsia="zh-CN"/>
              </w:rPr>
              <w:t xml:space="preserve"> </w:t>
            </w:r>
            <w:bookmarkEnd w:id="0"/>
            <w:r>
              <w:rPr>
                <w:rFonts w:ascii="宋体"/>
                <w:color w:val="000000"/>
                <w:sz w:val="20"/>
                <w:szCs w:val="20"/>
                <w:lang w:eastAsia="zh-CN"/>
              </w:rPr>
              <w:t>北京工艺美术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 xml:space="preserve">出版社 </w:t>
            </w:r>
            <w:r>
              <w:rPr>
                <w:rFonts w:hint="eastAsia" w:ascii="宋体"/>
                <w:lang w:eastAsia="zh-CN"/>
              </w:rPr>
              <w:t xml:space="preserve"> 2001/8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《动画片场景美术设计》叶歌、陈令长 中国海洋大学2014.1.第一版</w:t>
            </w:r>
          </w:p>
          <w:p>
            <w:pPr>
              <w:snapToGrid w:val="0"/>
              <w:spacing w:line="288" w:lineRule="auto"/>
              <w:ind w:left="0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《花木兰制作花絮》等影片光碟等相关影视资料</w:t>
            </w:r>
          </w:p>
          <w:p>
            <w:pPr>
              <w:snapToGrid w:val="0"/>
              <w:spacing w:line="288" w:lineRule="auto"/>
              <w:ind w:left="87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《CG绘画技法与创意》王亮编著大连理工大学出版社2011.10.第一次印刷</w:t>
            </w:r>
          </w:p>
          <w:p>
            <w:pPr>
              <w:snapToGrid w:val="0"/>
              <w:spacing w:line="288" w:lineRule="auto"/>
              <w:ind w:left="87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《Phtoshop终极CG绘画技法—专业绘画工具Blur′s Good Brush 急速手册》 雪果编著北京电子工业出版社2014.6.第一版</w:t>
            </w:r>
          </w:p>
          <w:p>
            <w:pPr>
              <w:snapToGrid w:val="0"/>
              <w:spacing w:line="288" w:lineRule="auto"/>
              <w:ind w:left="0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sz w:val="21"/>
                <w:szCs w:val="21"/>
              </w:rPr>
              <w:t>《国际游戏场景设计》（韩国）金守荣编著2016.2.北京第二次印刷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hint="eastAsia" w:asci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3402"/>
        <w:gridCol w:w="2268"/>
        <w:gridCol w:w="1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eastAsia="微软雅黑" w:cs="Arial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微软雅黑" w:eastAsia="微软雅黑" w:cs="Arial"/>
                <w:kern w:val="0"/>
                <w:sz w:val="21"/>
                <w:szCs w:val="21"/>
                <w:lang w:eastAsia="zh-CN" w:bidi="ar-SA"/>
              </w:rPr>
              <w:t>1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微软雅黑" w:eastAsia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eastAsia="微软雅黑"/>
                <w:color w:val="000000"/>
                <w:sz w:val="21"/>
                <w:szCs w:val="21"/>
                <w:lang w:eastAsia="zh-CN"/>
              </w:rPr>
              <w:t>课程梗概</w:t>
            </w:r>
            <w:r>
              <w:rPr>
                <w:rFonts w:ascii="微软雅黑" w:eastAsia="微软雅黑"/>
                <w:color w:val="000000"/>
                <w:sz w:val="21"/>
                <w:szCs w:val="21"/>
                <w:lang w:eastAsia="zh-CN"/>
              </w:rPr>
              <w:t>及基本概念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微软雅黑" w:eastAsia="微软雅黑" w:cs="Arial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微软雅黑" w:eastAsia="微软雅黑" w:cs="Arial"/>
                <w:kern w:val="0"/>
                <w:sz w:val="21"/>
                <w:szCs w:val="21"/>
                <w:lang w:val="en-US" w:eastAsia="zh-CN" w:bidi="ar-SA"/>
              </w:rPr>
              <w:t>混合</w:t>
            </w:r>
            <w:r>
              <w:rPr>
                <w:rFonts w:hint="eastAsia" w:ascii="微软雅黑" w:eastAsia="微软雅黑" w:cs="Arial"/>
                <w:kern w:val="0"/>
                <w:sz w:val="21"/>
                <w:szCs w:val="21"/>
                <w:lang w:eastAsia="zh-CN" w:bidi="ar-SA"/>
              </w:rPr>
              <w:t>授课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微软雅黑" w:eastAsia="微软雅黑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eastAsia="微软雅黑" w:cs="Arial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微软雅黑" w:eastAsia="微软雅黑" w:cs="Arial"/>
                <w:kern w:val="0"/>
                <w:sz w:val="21"/>
                <w:szCs w:val="21"/>
                <w:lang w:eastAsia="zh-CN" w:bidi="ar-SA"/>
              </w:rPr>
              <w:t>2-</w:t>
            </w:r>
            <w:r>
              <w:rPr>
                <w:rFonts w:ascii="微软雅黑" w:eastAsia="微软雅黑" w:cs="Arial"/>
                <w:kern w:val="0"/>
                <w:sz w:val="21"/>
                <w:szCs w:val="21"/>
                <w:lang w:eastAsia="zh-CN" w:bidi="ar-SA"/>
              </w:rPr>
              <w:t>3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eastAsia="微软雅黑" w:cs="宋体"/>
                <w:sz w:val="21"/>
                <w:szCs w:val="21"/>
                <w:lang w:eastAsia="zh-CN" w:bidi="ar-SA"/>
              </w:rPr>
            </w:pPr>
            <w:r>
              <w:rPr>
                <w:rFonts w:ascii="微软雅黑" w:eastAsia="微软雅黑"/>
                <w:sz w:val="21"/>
                <w:szCs w:val="21"/>
              </w:rPr>
              <w:t>场景设计透视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微软雅黑" w:eastAsia="微软雅黑" w:cs="Arial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ascii="微软雅黑" w:eastAsia="微软雅黑" w:cs="Arial"/>
                <w:kern w:val="0"/>
                <w:sz w:val="21"/>
                <w:szCs w:val="21"/>
                <w:lang w:eastAsia="zh-CN" w:bidi="ar-SA"/>
              </w:rPr>
              <w:t>混合</w:t>
            </w:r>
            <w:r>
              <w:rPr>
                <w:rFonts w:hint="eastAsia" w:ascii="微软雅黑" w:eastAsia="微软雅黑" w:cs="Arial"/>
                <w:kern w:val="0"/>
                <w:sz w:val="21"/>
                <w:szCs w:val="21"/>
                <w:lang w:eastAsia="zh-CN" w:bidi="ar-SA"/>
              </w:rPr>
              <w:t>授课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微软雅黑" w:eastAsia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/>
                <w:color w:val="000000"/>
                <w:sz w:val="21"/>
                <w:szCs w:val="21"/>
                <w:lang w:eastAsia="zh-CN"/>
              </w:rPr>
              <w:t>场景透视图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eastAsia="微软雅黑" w:cs="Arial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ascii="微软雅黑" w:eastAsia="微软雅黑" w:cs="Arial"/>
                <w:kern w:val="0"/>
                <w:sz w:val="21"/>
                <w:szCs w:val="21"/>
                <w:lang w:eastAsia="zh-CN" w:bidi="ar-SA"/>
              </w:rPr>
              <w:t>4</w:t>
            </w:r>
            <w:r>
              <w:rPr>
                <w:rFonts w:hint="eastAsia" w:ascii="微软雅黑" w:eastAsia="微软雅黑" w:cs="Arial"/>
                <w:kern w:val="0"/>
                <w:sz w:val="21"/>
                <w:szCs w:val="21"/>
                <w:lang w:eastAsia="zh-CN" w:bidi="ar-SA"/>
              </w:rPr>
              <w:t>-</w:t>
            </w:r>
            <w:r>
              <w:rPr>
                <w:rFonts w:ascii="微软雅黑" w:eastAsia="微软雅黑" w:cs="Arial"/>
                <w:kern w:val="0"/>
                <w:sz w:val="21"/>
                <w:szCs w:val="21"/>
                <w:lang w:eastAsia="zh-CN" w:bidi="ar-SA"/>
              </w:rPr>
              <w:t>5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eastAsia="微软雅黑"/>
                <w:sz w:val="21"/>
                <w:szCs w:val="21"/>
              </w:rPr>
            </w:pPr>
            <w:r>
              <w:rPr>
                <w:rFonts w:ascii="微软雅黑" w:eastAsia="微软雅黑"/>
                <w:sz w:val="21"/>
                <w:szCs w:val="21"/>
              </w:rPr>
              <w:t>场景设计视觉语言-景别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eastAsia="微软雅黑" w:cs="Arial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ascii="微软雅黑" w:eastAsia="微软雅黑" w:cs="Arial"/>
                <w:kern w:val="0"/>
                <w:sz w:val="21"/>
                <w:szCs w:val="21"/>
                <w:lang w:eastAsia="zh-CN" w:bidi="ar-SA"/>
              </w:rPr>
              <w:t>混合</w:t>
            </w:r>
            <w:r>
              <w:rPr>
                <w:rFonts w:hint="eastAsia" w:ascii="微软雅黑" w:eastAsia="微软雅黑" w:cs="Arial"/>
                <w:kern w:val="0"/>
                <w:sz w:val="21"/>
                <w:szCs w:val="21"/>
                <w:lang w:eastAsia="zh-CN" w:bidi="ar-SA"/>
              </w:rPr>
              <w:t>授课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微软雅黑" w:eastAsia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/>
                <w:color w:val="000000"/>
                <w:sz w:val="21"/>
                <w:szCs w:val="21"/>
                <w:lang w:eastAsia="zh-CN"/>
              </w:rPr>
              <w:t>场景图临摹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eastAsia="微软雅黑" w:cs="Arial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ascii="微软雅黑" w:eastAsia="微软雅黑" w:cs="Arial"/>
                <w:kern w:val="0"/>
                <w:sz w:val="21"/>
                <w:szCs w:val="21"/>
                <w:lang w:eastAsia="zh-CN" w:bidi="ar-SA"/>
              </w:rPr>
              <w:t>6-7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eastAsia="微软雅黑" w:cs="宋体"/>
                <w:sz w:val="21"/>
                <w:szCs w:val="21"/>
                <w:lang w:bidi="ar-SA"/>
              </w:rPr>
            </w:pPr>
            <w:r>
              <w:rPr>
                <w:rFonts w:ascii="微软雅黑" w:eastAsia="微软雅黑"/>
                <w:sz w:val="21"/>
                <w:szCs w:val="21"/>
              </w:rPr>
              <w:t>场景设计视觉语言-镜头运用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微软雅黑" w:eastAsia="微软雅黑" w:cs="Arial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ascii="微软雅黑" w:eastAsia="微软雅黑" w:cs="Arial"/>
                <w:kern w:val="0"/>
                <w:sz w:val="21"/>
                <w:szCs w:val="21"/>
                <w:lang w:eastAsia="zh-CN" w:bidi="ar-SA"/>
              </w:rPr>
              <w:t>混合</w:t>
            </w:r>
            <w:r>
              <w:rPr>
                <w:rFonts w:hint="eastAsia" w:ascii="微软雅黑" w:eastAsia="微软雅黑" w:cs="Arial"/>
                <w:kern w:val="0"/>
                <w:sz w:val="21"/>
                <w:szCs w:val="21"/>
                <w:lang w:eastAsia="zh-CN" w:bidi="ar-SA"/>
              </w:rPr>
              <w:t>授课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240" w:lineRule="exact"/>
              <w:jc w:val="center"/>
              <w:rPr>
                <w:rFonts w:hint="eastAsia" w:ascii="微软雅黑" w:eastAsia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/>
                <w:color w:val="000000"/>
                <w:sz w:val="21"/>
                <w:szCs w:val="21"/>
                <w:lang w:eastAsia="zh-CN"/>
              </w:rPr>
              <w:t>场景图临摹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eastAsia="微软雅黑" w:cs="Arial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ascii="微软雅黑" w:eastAsia="微软雅黑" w:cs="Arial"/>
                <w:kern w:val="0"/>
                <w:sz w:val="21"/>
                <w:szCs w:val="21"/>
                <w:lang w:eastAsia="zh-CN" w:bidi="ar-SA"/>
              </w:rPr>
              <w:t>8</w:t>
            </w:r>
            <w:r>
              <w:rPr>
                <w:rFonts w:hint="eastAsia" w:ascii="微软雅黑" w:eastAsia="微软雅黑" w:cs="Arial"/>
                <w:kern w:val="0"/>
                <w:sz w:val="21"/>
                <w:szCs w:val="21"/>
                <w:lang w:eastAsia="zh-CN" w:bidi="ar-SA"/>
              </w:rPr>
              <w:t>-</w:t>
            </w:r>
            <w:r>
              <w:rPr>
                <w:rFonts w:ascii="微软雅黑" w:eastAsia="微软雅黑" w:cs="Arial"/>
                <w:kern w:val="0"/>
                <w:sz w:val="21"/>
                <w:szCs w:val="21"/>
                <w:lang w:eastAsia="zh-CN" w:bidi="ar-SA"/>
              </w:rPr>
              <w:t>9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eastAsia="微软雅黑" w:cs="宋体"/>
                <w:sz w:val="21"/>
                <w:szCs w:val="21"/>
                <w:lang w:bidi="ar-SA"/>
              </w:rPr>
            </w:pPr>
            <w:r>
              <w:rPr>
                <w:rFonts w:ascii="微软雅黑" w:eastAsia="微软雅黑" w:cs="宋体"/>
                <w:sz w:val="21"/>
                <w:szCs w:val="21"/>
                <w:lang w:eastAsia="zh-CN" w:bidi="ar-SA"/>
              </w:rPr>
              <w:t>场景设计的绘制元素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微软雅黑" w:eastAsia="微软雅黑" w:cs="Arial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ascii="微软雅黑" w:eastAsia="微软雅黑" w:cs="Arial"/>
                <w:kern w:val="0"/>
                <w:sz w:val="21"/>
                <w:szCs w:val="21"/>
                <w:lang w:eastAsia="zh-CN" w:bidi="ar-SA"/>
              </w:rPr>
              <w:t>混合</w:t>
            </w:r>
            <w:r>
              <w:rPr>
                <w:rFonts w:hint="eastAsia" w:ascii="微软雅黑" w:eastAsia="微软雅黑" w:cs="Arial"/>
                <w:kern w:val="0"/>
                <w:sz w:val="21"/>
                <w:szCs w:val="21"/>
                <w:lang w:eastAsia="zh-CN" w:bidi="ar-SA"/>
              </w:rPr>
              <w:t>授课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微软雅黑" w:eastAsia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cs="宋体"/>
                <w:sz w:val="21"/>
                <w:szCs w:val="21"/>
                <w:lang w:eastAsia="zh-CN" w:bidi="ar-SA"/>
              </w:rPr>
              <w:t>场景元素绘制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eastAsia="微软雅黑" w:cs="Arial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ascii="微软雅黑" w:eastAsia="微软雅黑" w:cs="Arial"/>
                <w:kern w:val="0"/>
                <w:sz w:val="21"/>
                <w:szCs w:val="21"/>
                <w:lang w:eastAsia="zh-CN" w:bidi="ar-SA"/>
              </w:rPr>
              <w:t>10-11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eastAsia="微软雅黑" w:cs="宋体"/>
                <w:sz w:val="21"/>
                <w:szCs w:val="21"/>
                <w:lang w:bidi="ar-SA"/>
              </w:rPr>
            </w:pPr>
            <w:r>
              <w:rPr>
                <w:rFonts w:ascii="微软雅黑" w:eastAsia="微软雅黑" w:cs="宋体"/>
                <w:sz w:val="21"/>
                <w:szCs w:val="21"/>
                <w:lang w:eastAsia="zh-CN" w:bidi="ar-SA"/>
              </w:rPr>
              <w:t>场景设计的剧情化设计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微软雅黑" w:eastAsia="微软雅黑" w:cs="Arial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ascii="微软雅黑" w:eastAsia="微软雅黑" w:cs="Arial"/>
                <w:kern w:val="0"/>
                <w:sz w:val="21"/>
                <w:szCs w:val="21"/>
                <w:lang w:eastAsia="zh-CN" w:bidi="ar-SA"/>
              </w:rPr>
              <w:t>混合</w:t>
            </w:r>
            <w:r>
              <w:rPr>
                <w:rFonts w:hint="eastAsia" w:ascii="微软雅黑" w:eastAsia="微软雅黑" w:cs="Arial"/>
                <w:kern w:val="0"/>
                <w:sz w:val="21"/>
                <w:szCs w:val="21"/>
                <w:lang w:eastAsia="zh-CN" w:bidi="ar-SA"/>
              </w:rPr>
              <w:t>授课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微软雅黑" w:eastAsia="微软雅黑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/>
                <w:color w:val="000000"/>
                <w:sz w:val="21"/>
                <w:szCs w:val="21"/>
                <w:lang w:eastAsia="zh-CN"/>
              </w:rPr>
              <w:t>场景图临摹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eastAsia="微软雅黑" w:cs="Arial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ascii="微软雅黑" w:eastAsia="微软雅黑" w:cs="Arial"/>
                <w:kern w:val="0"/>
                <w:sz w:val="21"/>
                <w:szCs w:val="21"/>
                <w:lang w:eastAsia="zh-CN" w:bidi="ar-SA"/>
              </w:rPr>
              <w:t>12-13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eastAsia="微软雅黑" w:cs="宋体"/>
                <w:sz w:val="21"/>
                <w:szCs w:val="21"/>
                <w:lang w:bidi="ar-SA"/>
              </w:rPr>
            </w:pPr>
            <w:r>
              <w:rPr>
                <w:rFonts w:ascii="微软雅黑" w:eastAsia="微软雅黑" w:cs="宋体"/>
                <w:sz w:val="21"/>
                <w:szCs w:val="21"/>
                <w:lang w:eastAsia="zh-CN" w:bidi="ar-SA"/>
              </w:rPr>
              <w:t>场景设计的构思方法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微软雅黑" w:eastAsia="微软雅黑" w:cs="Arial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ascii="微软雅黑" w:eastAsia="微软雅黑" w:cs="Arial"/>
                <w:kern w:val="0"/>
                <w:sz w:val="21"/>
                <w:szCs w:val="21"/>
                <w:lang w:eastAsia="zh-CN" w:bidi="ar-SA"/>
              </w:rPr>
              <w:t>混合</w:t>
            </w:r>
            <w:r>
              <w:rPr>
                <w:rFonts w:hint="eastAsia" w:ascii="微软雅黑" w:eastAsia="微软雅黑" w:cs="Arial"/>
                <w:kern w:val="0"/>
                <w:sz w:val="21"/>
                <w:szCs w:val="21"/>
                <w:lang w:eastAsia="zh-CN" w:bidi="ar-SA"/>
              </w:rPr>
              <w:t>授课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微软雅黑" w:eastAsia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16"/>
                <w:rFonts w:hint="eastAsia" w:ascii="微软雅黑" w:eastAsia="微软雅黑" w:cs="JMCWQI+HYg2gj"/>
                <w:b w:val="0"/>
                <w:i w:val="0"/>
                <w:caps w:val="0"/>
                <w:smallCaps w:val="0"/>
                <w:strike w:val="0"/>
                <w:dstrike w:val="0"/>
                <w:spacing w:val="0"/>
                <w:kern w:val="24"/>
                <w:sz w:val="21"/>
                <w:szCs w:val="21"/>
                <w:u w:val="none"/>
                <w:vertAlign w:val="baseline"/>
                <w:lang w:eastAsia="zh-CN"/>
              </w:rPr>
              <w:t>依照实景绘制动画场景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微软雅黑" w:eastAsia="微软雅黑" w:cs="Arial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ascii="微软雅黑" w:eastAsia="微软雅黑" w:cs="Arial"/>
                <w:kern w:val="0"/>
                <w:sz w:val="21"/>
                <w:szCs w:val="21"/>
                <w:lang w:eastAsia="zh-CN" w:bidi="ar-SA"/>
              </w:rPr>
              <w:t>14-16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eastAsia="微软雅黑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微软雅黑" w:eastAsia="微软雅黑" w:cs="Arial"/>
                <w:kern w:val="0"/>
                <w:sz w:val="21"/>
                <w:szCs w:val="21"/>
                <w:lang w:eastAsia="zh-CN"/>
              </w:rPr>
              <w:t>考查：</w:t>
            </w:r>
            <w:r>
              <w:rPr>
                <w:rFonts w:ascii="微软雅黑" w:eastAsia="微软雅黑" w:cs="Arial"/>
                <w:kern w:val="0"/>
                <w:sz w:val="21"/>
                <w:szCs w:val="21"/>
                <w:lang w:eastAsia="zh-CN"/>
              </w:rPr>
              <w:t>场景主题设计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cs="Arial"/>
                <w:kern w:val="0"/>
                <w:sz w:val="21"/>
                <w:szCs w:val="21"/>
                <w:lang w:eastAsia="zh-CN" w:bidi="ar-SA"/>
              </w:rPr>
              <w:t>考核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eastAsia="微软雅黑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eastAsia="微软雅黑" w:cs="Arial"/>
                <w:kern w:val="0"/>
                <w:sz w:val="21"/>
                <w:szCs w:val="21"/>
                <w:lang w:eastAsia="zh-CN"/>
              </w:rPr>
              <w:t>大作业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eastAsia="仿宋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Style w:val="7"/>
        <w:tblW w:w="4831" w:type="pct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54"/>
        <w:gridCol w:w="1254"/>
        <w:gridCol w:w="1254"/>
        <w:gridCol w:w="1254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过程考核1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过程考核3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过程考核4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（X4）</w:t>
            </w:r>
          </w:p>
        </w:tc>
        <w:tc>
          <w:tcPr>
            <w:tcW w:w="108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color w:val="000000"/>
                <w:sz w:val="21"/>
              </w:rPr>
              <w:t>场景透视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eastAsia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</w:rPr>
              <w:t>场景</w:t>
            </w: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语言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eastAsia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</w:rPr>
              <w:t>场景</w:t>
            </w: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构思设计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  <w:t>场景主题设计</w:t>
            </w:r>
          </w:p>
        </w:tc>
        <w:tc>
          <w:tcPr>
            <w:tcW w:w="108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/>
                <w:bCs/>
                <w:color w:val="000000"/>
                <w:szCs w:val="20"/>
                <w:lang w:eastAsia="zh-CN"/>
              </w:rPr>
              <w:t>20%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sz w:val="21"/>
              </w:rPr>
              <w:t>20</w:t>
            </w:r>
            <w:r>
              <w:rPr>
                <w:rFonts w:hint="eastAsia" w:ascii="宋体"/>
                <w:bCs/>
                <w:color w:val="000000"/>
                <w:szCs w:val="20"/>
                <w:lang w:eastAsia="zh-CN"/>
              </w:rPr>
              <w:t>%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sz w:val="21"/>
              </w:rPr>
              <w:t>30</w:t>
            </w:r>
            <w:r>
              <w:rPr>
                <w:rFonts w:hint="eastAsia" w:ascii="宋体"/>
                <w:bCs/>
                <w:color w:val="000000"/>
                <w:szCs w:val="20"/>
                <w:lang w:eastAsia="zh-CN"/>
              </w:rPr>
              <w:t>%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color w:val="000000"/>
                <w:sz w:val="21"/>
              </w:rPr>
              <w:t>30</w:t>
            </w:r>
            <w:r>
              <w:rPr>
                <w:rFonts w:hint="eastAsia" w:ascii="宋体"/>
                <w:color w:val="000000"/>
                <w:sz w:val="21"/>
                <w:lang w:eastAsia="zh-CN"/>
              </w:rPr>
              <w:t>%</w:t>
            </w:r>
          </w:p>
        </w:tc>
        <w:tc>
          <w:tcPr>
            <w:tcW w:w="108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9" w:hRule="atLeast"/>
        </w:trPr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仿宋" w:eastAsia="仿宋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仿宋" w:eastAsia="仿宋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8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仿宋" w:eastAsia="仿宋"/>
          <w:color w:val="000000"/>
          <w:position w:val="-20"/>
          <w:lang w:eastAsia="zh-CN"/>
        </w:rPr>
      </w:pPr>
      <w:r>
        <w:rPr>
          <w:rFonts w:hint="eastAsia" w:asci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仿宋" w:eastAsia="仿宋"/>
          <w:color w:val="000000"/>
          <w:position w:val="-20"/>
          <w:lang w:eastAsia="zh-CN"/>
        </w:rPr>
      </w:pPr>
      <w:r>
        <w:rPr>
          <w:rFonts w:hint="eastAsia" w:asci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仿宋" w:eastAsia="仿宋"/>
          <w:color w:val="000000"/>
          <w:position w:val="-20"/>
          <w:lang w:eastAsia="zh-CN"/>
        </w:rPr>
      </w:pPr>
      <w:r>
        <w:rPr>
          <w:rFonts w:hint="eastAsia" w:asci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eastAsia="仿宋"/>
          <w:color w:val="000000"/>
          <w:position w:val="-20"/>
        </w:rPr>
        <w:t>方式为讲课、实验、讨论</w:t>
      </w:r>
      <w:r>
        <w:rPr>
          <w:rFonts w:hint="eastAsia" w:asci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eastAsia="仿宋"/>
          <w:color w:val="000000"/>
          <w:position w:val="-20"/>
        </w:rPr>
        <w:t>、</w:t>
      </w:r>
      <w:r>
        <w:rPr>
          <w:rFonts w:hint="eastAsia" w:asci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eastAsia="仿宋"/>
          <w:color w:val="000000"/>
          <w:position w:val="-20"/>
        </w:rPr>
        <w:t>参观、边讲边练、</w:t>
      </w:r>
      <w:r>
        <w:rPr>
          <w:rFonts w:hint="eastAsia" w:asci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eastAsia="仿宋"/>
          <w:color w:val="000000"/>
          <w:position w:val="-20"/>
        </w:rPr>
        <w:t>、考核</w:t>
      </w:r>
      <w:r>
        <w:rPr>
          <w:rFonts w:hint="eastAsia" w:asci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仿宋" w:eastAsia="仿宋"/>
          <w:color w:val="000000"/>
          <w:position w:val="-20"/>
          <w:lang w:eastAsia="zh-CN"/>
        </w:rPr>
      </w:pPr>
      <w:r>
        <w:rPr>
          <w:rFonts w:hint="eastAsia" w:ascii="仿宋" w:eastAsia="仿宋"/>
          <w:color w:val="000000"/>
          <w:position w:val="-20"/>
          <w:lang w:eastAsia="zh-CN"/>
        </w:rPr>
        <w:t>评价方式为期末考试“1”及过程考核“X”，其中“1”为教学大纲中规定的形式；“X”可由任课教师或课程组自行确定（同一门课程多位教师任课的须由课程组统一X的方式及比例）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eastAsia="仿宋"/>
          <w:sz w:val="28"/>
          <w:szCs w:val="28"/>
          <w:lang w:eastAsia="zh-CN"/>
        </w:rPr>
      </w:pPr>
      <w:r>
        <w:rPr>
          <w:rFonts w:hint="eastAsia" w:asci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eastAsia="仿宋"/>
          <w:color w:val="000000"/>
          <w:position w:val="-20"/>
          <w:sz w:val="28"/>
          <w:szCs w:val="28"/>
          <w:lang w:eastAsia="zh-CN"/>
        </w:rPr>
        <w:t xml:space="preserve">  冯平           系</w:t>
      </w:r>
      <w:r>
        <w:rPr>
          <w:rFonts w:hint="eastAsia" w:ascii="仿宋" w:eastAsia="仿宋"/>
          <w:color w:val="000000"/>
          <w:position w:val="-20"/>
          <w:sz w:val="28"/>
          <w:szCs w:val="28"/>
        </w:rPr>
        <w:t>主任审核：           日期：</w:t>
      </w:r>
      <w:r>
        <w:rPr>
          <w:rFonts w:hint="eastAsia" w:asci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ascii="仿宋" w:eastAsia="仿宋"/>
          <w:color w:val="000000"/>
          <w:position w:val="-20"/>
          <w:sz w:val="28"/>
          <w:szCs w:val="28"/>
          <w:lang w:eastAsia="zh-CN"/>
        </w:rPr>
        <w:t>8</w:t>
      </w:r>
      <w:r>
        <w:rPr>
          <w:rFonts w:hint="eastAsia" w:asci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ascii="仿宋" w:eastAsia="仿宋"/>
          <w:color w:val="000000"/>
          <w:position w:val="-20"/>
          <w:sz w:val="28"/>
          <w:szCs w:val="28"/>
          <w:lang w:eastAsia="zh-CN"/>
        </w:rPr>
        <w:t>5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JMCWQI+HYg2gj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華康儷中黑">
    <w:altName w:val="黑体"/>
    <w:panose1 w:val="020B0509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2050804040505020204"/>
    <w:charset w:val="00"/>
    <w:family w:val="roma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20F0709000000000000"/>
    <w:charset w:val="88"/>
    <w:family w:val="modern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008" w:wrap="around" w:vAnchor="page" w:hAnchor="page" w:x="5491" w:y="16201"/>
      <w:rPr>
        <w:rStyle w:val="9"/>
        <w:rFonts w:hint="eastAsia" w:ascii="ITC Bookman Demi" w:hAnsi="ITC Bookman Demi"/>
        <w:color w:val="FFFFFF"/>
        <w:sz w:val="26"/>
        <w:szCs w:val="26"/>
      </w:rPr>
    </w:pPr>
    <w:r>
      <w:rPr>
        <w:rStyle w:val="9"/>
        <w:rFonts w:hint="eastAsia" w:ascii="華康儷中黑" w:eastAsia="華康儷中黑"/>
        <w:color w:val="FFFFFF"/>
        <w:sz w:val="26"/>
        <w:szCs w:val="26"/>
      </w:rPr>
      <w:t>第</w:t>
    </w:r>
    <w:r>
      <w:rPr>
        <w:rStyle w:val="9"/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DotumChe"/>
        <w:color w:val="FFFFFF"/>
        <w:sz w:val="26"/>
        <w:szCs w:val="26"/>
        <w:lang w:val="en-US" w:eastAsia="zh-CN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9"/>
        <w:rFonts w:hint="eastAsia" w:ascii="華康儷中黑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/>
        <w:sz w:val="18"/>
        <w:szCs w:val="18"/>
      </w:rPr>
      <w:t>注：</w:t>
    </w:r>
    <w:r>
      <w:rPr>
        <w:rFonts w:hint="eastAsia" w:ascii="宋体"/>
        <w:sz w:val="18"/>
        <w:szCs w:val="18"/>
        <w:lang w:eastAsia="zh-CN"/>
      </w:rPr>
      <w:t>课程</w:t>
    </w:r>
    <w:r>
      <w:rPr>
        <w:rFonts w:hint="eastAsia" w:ascii="宋体"/>
        <w:sz w:val="18"/>
        <w:szCs w:val="18"/>
      </w:rPr>
      <w:t>教学</w:t>
    </w:r>
    <w:r>
      <w:rPr>
        <w:rFonts w:hint="eastAsia" w:ascii="宋体"/>
        <w:sz w:val="18"/>
        <w:szCs w:val="18"/>
        <w:lang w:eastAsia="zh-CN"/>
      </w:rPr>
      <w:t>进度计划表</w:t>
    </w:r>
    <w:r>
      <w:rPr>
        <w:rFonts w:hint="eastAsia" w:ascii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406" w:wrap="around" w:vAnchor="page" w:hAnchor="page" w:x="5661" w:y="16221"/>
      <w:jc w:val="center"/>
      <w:rPr>
        <w:rStyle w:val="9"/>
        <w:rFonts w:ascii="ITC Bookman Demi" w:hAnsi="ITC Bookman Demi" w:eastAsia="華康粗圓體"/>
        <w:color w:val="FFFFFF"/>
        <w:sz w:val="26"/>
        <w:szCs w:val="26"/>
      </w:rPr>
    </w:pPr>
    <w:r>
      <w:rPr>
        <w:rStyle w:val="9"/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華康粗圓體"/>
        <w:color w:val="FFFFFF"/>
        <w:sz w:val="26"/>
        <w:szCs w:val="26"/>
        <w:lang w:val="en-US"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5"/>
      <w:ind w:right="360"/>
    </w:pPr>
    <w:r>
      <w:drawing>
        <wp:inline distT="0" distB="0" distL="85090" distR="85090">
          <wp:extent cx="6620510" cy="242570"/>
          <wp:effectExtent l="0" t="0" r="26" b="28"/>
          <wp:docPr id="4" name="图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0510" cy="242570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miter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72" w:beforeLines="30"/>
      <w:ind w:firstLine="1280" w:firstLineChars="400"/>
      <w:rPr>
        <w:rFonts w:hint="eastAsia" w:ascii="華康儷中黑" w:eastAsia="華康儷中黑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72" w:beforeLines="30"/>
      <w:ind w:firstLine="1700" w:firstLineChars="850"/>
      <w:jc w:val="both"/>
    </w:pPr>
    <w:r>
      <w:rPr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-26670</wp:posOffset>
          </wp:positionH>
          <wp:positionV relativeFrom="paragraph">
            <wp:posOffset>-32385</wp:posOffset>
          </wp:positionV>
          <wp:extent cx="6666865" cy="364490"/>
          <wp:effectExtent l="0" t="0" r="0" b="0"/>
          <wp:wrapTight wrapText="bothSides">
            <wp:wrapPolygon>
              <wp:start x="-31" y="0"/>
              <wp:lineTo x="-31" y="21221"/>
              <wp:lineTo x="21600" y="21221"/>
              <wp:lineTo x="21600" y="0"/>
              <wp:lineTo x="-31" y="0"/>
            </wp:wrapPolygon>
          </wp:wrapTight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/>
                  <pic:cNvPicPr>
                    <a:picLocks noChangeAspect="1"/>
                  </pic:cNvPicPr>
                </pic:nvPicPr>
                <pic:blipFill>
                  <a:blip r:embed="rId1"/>
                  <a:srcRect b="79598"/>
                  <a:stretch>
                    <a:fillRect/>
                  </a:stretch>
                </pic:blipFill>
                <pic:spPr>
                  <a:xfrm>
                    <a:off x="0" y="0"/>
                    <a:ext cx="6666865" cy="364490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miter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splitPgBreakAndParaMark/>
    <w:compatSetting w:name="compatibilityMode" w:uri="http://schemas.microsoft.com/office/word" w:val="11"/>
  </w:compat>
  <w:docVars>
    <w:docVar w:name="commondata" w:val="eyJoZGlkIjoiNjQ1ZDZmNmE4NTk3MmM1Nzg3ODNlODViYTBmNzE2NjAifQ=="/>
  </w:docVars>
  <w:rsids>
    <w:rsidRoot w:val="00000000"/>
    <w:rsid w:val="54F84CD2"/>
    <w:rsid w:val="70697B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</w:rPr>
  </w:style>
  <w:style w:type="character" w:customStyle="1" w:styleId="13">
    <w:name w:val="NormalCharacter"/>
    <w:qFormat/>
    <w:uiPriority w:val="0"/>
  </w:style>
  <w:style w:type="paragraph" w:customStyle="1" w:styleId="14">
    <w:name w:val="列出段落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样式 小二"/>
    <w:link w:val="16"/>
    <w:qFormat/>
    <w:uiPriority w:val="0"/>
    <w:rPr>
      <w:rFonts w:ascii="Arial" w:hAnsi="Arial" w:eastAsia="宋体" w:cs="Times New Roman"/>
      <w:kern w:val="24"/>
      <w:sz w:val="36"/>
      <w:szCs w:val="36"/>
      <w:u w:val="none"/>
      <w:vertAlign w:val="baseline"/>
      <w:lang w:val="en-US" w:eastAsia="zh-CN" w:bidi="ar-SA"/>
    </w:rPr>
  </w:style>
  <w:style w:type="character" w:customStyle="1" w:styleId="16">
    <w:name w:val="样式 小二 Char"/>
    <w:basedOn w:val="8"/>
    <w:link w:val="15"/>
    <w:qFormat/>
    <w:uiPriority w:val="0"/>
    <w:rPr>
      <w:rFonts w:ascii="Arial" w:hAnsi="Arial" w:eastAsia="宋体" w:cs="Times New Roman"/>
      <w:kern w:val="24"/>
      <w:sz w:val="36"/>
      <w:szCs w:val="36"/>
      <w:u w:val="none"/>
      <w:vertAlign w:val="baseli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/>
        <a:gradFill/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/>
        <a:gradFill/>
      </a:bgFillStyleLst>
    </a:fmtScheme>
  </a:themeElements>
  <a:objectDefaults>
    <a:spDef>
      <a:spPr>
        <a:solidFill>
          <a:srgbClr val="FFFFFF"/>
        </a:solidFill>
        <a:ln w="15875" cap="flat" cmpd="sng">
          <a:solidFill>
            <a:srgbClr val="739CC3"/>
          </a:solidFill>
          <a:prstDash val="solid"/>
          <a:miter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5875" cap="flat" cmpd="sng">
          <a:solidFill>
            <a:srgbClr val="739CC3"/>
          </a:solidFill>
          <a:prstDash val="solid"/>
          <a:miter/>
        </a:ln>
      </a:spPr>
      <a:bodyPr/>
      <a:lstStyle/>
      <a:style>
        <a:lnRef idx="1">
          <a:schemeClr val="accent4">
            <a:shade val="50000"/>
          </a:schemeClr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CMT</Company>
  <Pages>2</Pages>
  <Words>802</Words>
  <Characters>943</Characters>
  <Lines>0</Lines>
  <Paragraphs>19</Paragraphs>
  <TotalTime>2</TotalTime>
  <ScaleCrop>false</ScaleCrop>
  <LinksUpToDate>false</LinksUpToDate>
  <CharactersWithSpaces>989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2020-09-17T00:11:00Z</dcterms:created>
  <dc:creator>*****</dc:creator>
  <cp:lastModifiedBy>1904</cp:lastModifiedBy>
  <cp:lastPrinted>2015-03-18T03:45:00Z</cp:lastPrinted>
  <dcterms:modified xsi:type="dcterms:W3CDTF">2022-09-22T01:49:54Z</dcterms:modified>
  <dc:title>上海建桥学院教学进度计划表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04C267F49BBD43D484AB8B8A6B0817CE</vt:lpwstr>
  </property>
</Properties>
</file>