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6310722"/>
      <w:r>
        <w:rPr>
          <w:b/>
          <w:sz w:val="28"/>
          <w:szCs w:val="30"/>
        </w:rPr>
        <w:pict>
          <v:shape id="文本框 28" o:spid="_x0000_s1058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">
            <v:path arrowok="t"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【外贸日语函电】</w:t>
      </w:r>
      <w:bookmarkEnd w:id="0"/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Foreign Trade Correspondence in Japanese</w:t>
      </w:r>
      <w:r>
        <w:rPr>
          <w:rFonts w:hint="eastAsia"/>
          <w:b/>
          <w:sz w:val="28"/>
          <w:szCs w:val="30"/>
        </w:rPr>
        <w:t>】</w:t>
      </w:r>
    </w:p>
    <w:p>
      <w:pPr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0010078】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商务</w:t>
      </w:r>
      <w:r>
        <w:rPr>
          <w:color w:val="000000"/>
          <w:sz w:val="20"/>
          <w:szCs w:val="20"/>
        </w:rPr>
        <w:t>日语】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系级</w:t>
      </w:r>
      <w:r>
        <w:rPr>
          <w:rFonts w:hint="eastAsia"/>
          <w:bCs/>
          <w:color w:val="000000"/>
          <w:sz w:val="20"/>
          <w:szCs w:val="20"/>
        </w:rPr>
        <w:t>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国际</w:t>
      </w:r>
      <w:r>
        <w:rPr>
          <w:rFonts w:hint="eastAsia"/>
          <w:bCs/>
          <w:color w:val="000000"/>
          <w:sz w:val="20"/>
          <w:szCs w:val="20"/>
          <w:lang w:eastAsia="zh-CN"/>
        </w:rPr>
        <w:t>教育</w:t>
      </w:r>
      <w:r>
        <w:rPr>
          <w:rFonts w:hint="eastAsia"/>
          <w:bCs/>
          <w:color w:val="000000"/>
          <w:sz w:val="20"/>
          <w:szCs w:val="20"/>
        </w:rPr>
        <w:t>学院日语教学中心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教材【《</w:t>
      </w:r>
      <w:r>
        <w:rPr>
          <w:rFonts w:hint="eastAsia"/>
          <w:color w:val="000000"/>
          <w:sz w:val="20"/>
          <w:szCs w:val="20"/>
        </w:rPr>
        <w:t>外贸日语函电</w:t>
      </w:r>
      <w:r>
        <w:rPr>
          <w:color w:val="000000"/>
          <w:sz w:val="20"/>
          <w:szCs w:val="20"/>
        </w:rPr>
        <w:t>》</w:t>
      </w:r>
      <w:r>
        <w:rPr>
          <w:rFonts w:hint="eastAsia"/>
          <w:color w:val="000000"/>
          <w:sz w:val="20"/>
          <w:szCs w:val="20"/>
        </w:rPr>
        <w:t>，霍国宏、邵红，大连理工大学出版社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《</w:t>
      </w:r>
      <w:r>
        <w:rPr>
          <w:rFonts w:hint="eastAsia" w:ascii="宋体" w:hAnsi="宋体"/>
          <w:color w:val="000000"/>
          <w:sz w:val="20"/>
          <w:szCs w:val="20"/>
        </w:rPr>
        <w:t>国际商务日语函电</w:t>
      </w:r>
      <w:r>
        <w:rPr>
          <w:rFonts w:hint="eastAsia" w:ascii="宋体" w:hAnsi="宋体" w:cs="宋体"/>
          <w:kern w:val="0"/>
          <w:sz w:val="20"/>
          <w:szCs w:val="20"/>
        </w:rPr>
        <w:t>》，张新华著；中国商务出版社</w:t>
      </w:r>
      <w:r>
        <w:rPr>
          <w:rFonts w:hint="eastAsia"/>
          <w:color w:val="000000"/>
          <w:sz w:val="20"/>
          <w:szCs w:val="20"/>
        </w:rPr>
        <w:t>；</w:t>
      </w:r>
    </w:p>
    <w:p>
      <w:pPr>
        <w:snapToGrid w:val="0"/>
        <w:spacing w:line="288" w:lineRule="auto"/>
        <w:ind w:firstLine="1800" w:firstLineChars="900"/>
        <w:rPr>
          <w:rFonts w:ascii="宋体" w:hAnsi="宋体"/>
          <w:sz w:val="20"/>
          <w:szCs w:val="20"/>
        </w:rPr>
      </w:pPr>
      <w:r>
        <w:rPr>
          <w:rFonts w:hint="eastAsia"/>
          <w:sz w:val="20"/>
          <w:szCs w:val="20"/>
        </w:rPr>
        <w:t>《日语外贸函电》，陈世华、任犹龙主编；天津大</w:t>
      </w:r>
      <w:r>
        <w:rPr>
          <w:rFonts w:hint="eastAsia" w:ascii="宋体" w:hAnsi="宋体"/>
          <w:sz w:val="20"/>
          <w:szCs w:val="20"/>
        </w:rPr>
        <w:t>学出版社；</w:t>
      </w:r>
    </w:p>
    <w:p>
      <w:pPr>
        <w:snapToGrid w:val="0"/>
        <w:spacing w:line="288" w:lineRule="auto"/>
        <w:ind w:firstLine="1800" w:firstLineChars="900"/>
        <w:rPr>
          <w:color w:val="000000"/>
          <w:sz w:val="20"/>
          <w:szCs w:val="20"/>
          <w:highlight w:val="yellow"/>
        </w:rPr>
      </w:pPr>
      <w:bookmarkStart w:id="1" w:name="_GoBack"/>
      <w:bookmarkEnd w:id="1"/>
      <w:r>
        <w:rPr>
          <w:rFonts w:hint="eastAsia"/>
          <w:sz w:val="20"/>
          <w:szCs w:val="20"/>
        </w:rPr>
        <w:t>《</w:t>
      </w:r>
      <w:r>
        <w:rPr>
          <w:rFonts w:hint="eastAsia" w:ascii="宋体" w:hAnsi="宋体"/>
          <w:sz w:val="20"/>
          <w:szCs w:val="20"/>
        </w:rPr>
        <w:t>外贸日语函电》，刘金举主编；北京语言大学出版社；</w:t>
      </w:r>
      <w:r>
        <w:rPr>
          <w:rFonts w:hint="eastAsia" w:ascii="宋体" w:hAnsi="宋体" w:cs="宋体"/>
          <w:kern w:val="0"/>
          <w:sz w:val="20"/>
          <w:szCs w:val="20"/>
        </w:rPr>
        <w:t>】</w:t>
      </w:r>
    </w:p>
    <w:p>
      <w:pPr>
        <w:snapToGrid w:val="0"/>
        <w:spacing w:line="288" w:lineRule="auto"/>
        <w:ind w:firstLine="1800" w:firstLineChars="900"/>
        <w:rPr>
          <w:color w:val="000000"/>
          <w:sz w:val="20"/>
          <w:szCs w:val="20"/>
          <w:highlight w:val="yellow"/>
        </w:rPr>
      </w:pPr>
    </w:p>
    <w:p>
      <w:pPr>
        <w:snapToGrid w:val="0"/>
        <w:ind w:left="2403" w:leftChars="188" w:hanging="2008" w:hangingChars="1000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课程网站网址：http://www.gench.edu.cn</w:t>
      </w:r>
    </w:p>
    <w:p>
      <w:pPr>
        <w:snapToGrid w:val="0"/>
        <w:spacing w:line="288" w:lineRule="auto"/>
        <w:ind w:left="1416" w:leftChars="196" w:hanging="1004" w:hangingChars="50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sz w:val="20"/>
          <w:szCs w:val="20"/>
        </w:rPr>
        <w:t>基础日语</w:t>
      </w:r>
      <w:r>
        <w:rPr>
          <w:rFonts w:hint="eastAsia" w:ascii="Cambria Math" w:hAnsi="Cambria Math" w:cs="Cambria Math"/>
          <w:sz w:val="20"/>
          <w:szCs w:val="20"/>
        </w:rPr>
        <w:t>Ⅲ，</w:t>
      </w:r>
      <w:r>
        <w:rPr>
          <w:rFonts w:hint="eastAsia"/>
          <w:sz w:val="20"/>
          <w:szCs w:val="20"/>
        </w:rPr>
        <w:t>0</w:t>
      </w:r>
      <w:r>
        <w:rPr>
          <w:sz w:val="20"/>
          <w:szCs w:val="20"/>
        </w:rPr>
        <w:t>020013（10）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>《外贸日语函电》是日语学科专业必修课之一。在经历了改革开放三十多年的今天，中国经济国际化程度越来越高，对外贸易的比重越来越大，其中，对日贸易在中国整个对外贸易中占有很大比重，在可预见的将来这种趋势将会长期持续下去，因此我国对涉日贸易的人才需求也将越来越多，要求也会越来越高。针对这种对外贸人才的需求，结合学校教育的特点，本课程从对日贸易的实践出发，力求使学生熟悉掌握对日贸易的基本流程和专业术语，能够用日语书写各个贸易阶段的函电、文书，训练学生从日语角度来考虑基本的贸易问题，养成用日语思维的习惯，从而使学生初步具备对日贸易工作的基本能力。当然，一个合格的外贸工作人员，除了在学校要掌握扎实的理论基础知识外，更重要的是在业务实践中，不断地锻炼提高。</w:t>
      </w:r>
      <w:r>
        <w:fldChar w:fldCharType="begin"/>
      </w:r>
      <w:r>
        <w:instrText xml:space="preserve"> HYPERLINK "http://www.amazon.cn/%E6%96%B0%E6%97%A5%E8%AF%AD%E4%BC%9A%E8%AF%9D%E5%95%86%E5%8A%A1%E7%AF%87-%E7%9B%AE%E9%BB%91%E7%9C%9F%E5%AE%9E/dp/B004NP1EIA/ref=sr_1_2?ie=UTF8&amp;qid=1357139484&amp;sr=8-2" </w:instrText>
      </w:r>
      <w:r>
        <w:fldChar w:fldCharType="separate"/>
      </w:r>
      <w:r>
        <w:rPr>
          <w:rFonts w:hint="eastAsia" w:ascii="Verdana" w:hAnsi="Verdana" w:cs="宋体"/>
          <w:vanish/>
          <w:color w:val="003399"/>
          <w:kern w:val="0"/>
          <w:sz w:val="20"/>
          <w:szCs w:val="20"/>
          <w:u w:val="single"/>
        </w:rPr>
        <w:t>显示更多</w:t>
      </w:r>
      <w:r>
        <w:rPr>
          <w:rFonts w:hint="eastAsia" w:ascii="Verdana" w:hAnsi="Verdana" w:cs="宋体"/>
          <w:vanish/>
          <w:color w:val="003399"/>
          <w:kern w:val="0"/>
          <w:sz w:val="20"/>
          <w:szCs w:val="20"/>
          <w:u w:val="single"/>
        </w:rPr>
        <w:fldChar w:fldCharType="end"/>
      </w:r>
      <w:r>
        <w:fldChar w:fldCharType="begin"/>
      </w:r>
      <w:r>
        <w:instrText xml:space="preserve"> HYPERLINK "http://www.amazon.cn/%E6%96%B0%E6%97%A5%E8%AF%AD%E4%BC%9A%E8%AF%9D%E5%95%86%E5%8A%A1%E7%AF%87-%E7%9B%AE%E9%BB%91%E7%9C%9F%E5%AE%9E/dp/B004NP1EIA/ref=sr_1_2?ie=UTF8&amp;qid=1357139484&amp;sr=8-2" </w:instrText>
      </w:r>
      <w:r>
        <w:fldChar w:fldCharType="separate"/>
      </w:r>
      <w:r>
        <w:rPr>
          <w:rFonts w:hint="eastAsia" w:ascii="Verdana" w:hAnsi="Verdana" w:cs="宋体"/>
          <w:vanish/>
          <w:color w:val="003399"/>
          <w:kern w:val="0"/>
          <w:sz w:val="20"/>
          <w:szCs w:val="20"/>
          <w:u w:val="single"/>
        </w:rPr>
        <w:t>显示更少</w:t>
      </w:r>
      <w:r>
        <w:rPr>
          <w:rFonts w:hint="eastAsia" w:ascii="Verdana" w:hAnsi="Verdana" w:cs="宋体"/>
          <w:vanish/>
          <w:color w:val="003399"/>
          <w:kern w:val="0"/>
          <w:sz w:val="20"/>
          <w:szCs w:val="20"/>
          <w:u w:val="single"/>
        </w:rPr>
        <w:fldChar w:fldCharType="end"/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本课程适合商务日语专业二年级第二学期开设。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11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sz w:val="20"/>
          <w:szCs w:val="20"/>
          <w:highlight w:val="yellow"/>
        </w:rPr>
      </w:pPr>
      <w:r>
        <w:rPr>
          <w:rFonts w:hint="eastAsia" w:ascii="黑体" w:hAnsi="宋体" w:eastAsia="黑体"/>
          <w:sz w:val="24"/>
        </w:rPr>
        <w:t>五、课程目标/课程预期学习成果</w:t>
      </w:r>
    </w:p>
    <w:tbl>
      <w:tblPr>
        <w:tblStyle w:val="10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33"/>
        <w:gridCol w:w="2551"/>
        <w:gridCol w:w="2160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L0314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2160" w:type="dxa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教师讲授商务文件的基本格式，书写要点；通过阅读多篇例文，要求学生掌握写作格式；</w:t>
            </w:r>
          </w:p>
          <w:p>
            <w:pPr>
              <w:snapToGrid w:val="0"/>
              <w:spacing w:line="288" w:lineRule="auto"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课后作业</w:t>
            </w:r>
          </w:p>
          <w:p>
            <w:pPr>
              <w:jc w:val="lef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仿写发表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LO341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2160" w:type="dxa"/>
            <w:shd w:val="clear" w:color="auto" w:fill="auto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教师讲授外贸相关知识，结合课本的各类商务信函、文件，让学生实际操练写法；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仿写发表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LO513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能够使用日语语言处理商务活动中的常规业务，能用中日文双语撰写外贸函电，填写国际贸易的单证，起草外贸合同。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教师讲授商务文件的基本格式，书写要点；通过阅读多篇例文，要求学生掌握写作格式；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课后作业</w:t>
            </w:r>
          </w:p>
          <w:p>
            <w:pPr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仿写发表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LO713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奉献社会：具有服务企业、服务社会的意愿和行为能力。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通过课上知识点的讲解和课后作业的实际操练，使学生具备书写商务文书的能力，能够服务于企业与社会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课堂提问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课后作业</w:t>
            </w:r>
          </w:p>
          <w:p>
            <w:pPr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仿写发表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六、课程内容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共分为两个部分：商务文件的写作基础知识。第二部分是外贸函件写作，按照各种需要来进行讲授。每周一课，共2学时。每周的具体内容由5-6篇例文及练习部分构成，每篇例文又由写法要点、相关语句和练习组成。</w:t>
      </w:r>
    </w:p>
    <w:p>
      <w:pPr>
        <w:snapToGrid w:val="0"/>
        <w:spacing w:line="288" w:lineRule="auto"/>
        <w:rPr>
          <w:bCs/>
          <w:sz w:val="20"/>
          <w:szCs w:val="20"/>
        </w:rPr>
      </w:pPr>
    </w:p>
    <w:tbl>
      <w:tblPr>
        <w:tblStyle w:val="10"/>
        <w:tblW w:w="84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429"/>
        <w:gridCol w:w="430"/>
        <w:gridCol w:w="1717"/>
        <w:gridCol w:w="3292"/>
        <w:gridCol w:w="21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单元</w:t>
            </w: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32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教学难点</w:t>
            </w:r>
          </w:p>
        </w:tc>
      </w:tr>
      <w:tr>
        <w:trPr>
          <w:trHeight w:val="27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7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2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400" w:firstLineChars="20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例文</w:t>
            </w:r>
          </w:p>
        </w:tc>
        <w:tc>
          <w:tcPr>
            <w:tcW w:w="32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200" w:firstLineChars="10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能够使用日语语言处理商务活动中的常规业务，能用中日文双语</w:t>
            </w:r>
          </w:p>
        </w:tc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掌握例文的格式，写法。会模仿例文的格式写一篇同类别的商务文书。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" w:hRule="atLeast"/>
          <w:jc w:val="center"/>
        </w:trPr>
        <w:tc>
          <w:tcPr>
            <w:tcW w:w="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ind w:firstLine="100" w:firstLineChars="50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200" w:firstLineChars="10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写法要点</w:t>
            </w:r>
          </w:p>
        </w:tc>
        <w:tc>
          <w:tcPr>
            <w:tcW w:w="32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教师讲授外贸相关知识，结合课本的各类商务信函、文件，让学生实际操练写法</w:t>
            </w:r>
          </w:p>
        </w:tc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理解该商务文书的书写目的，关键和注意点。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200" w:firstLineChars="100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2</w:t>
            </w:r>
          </w:p>
          <w:p>
            <w:pPr>
              <w:widowControl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  <w:t>相关语句</w:t>
            </w:r>
          </w:p>
        </w:tc>
        <w:tc>
          <w:tcPr>
            <w:tcW w:w="32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教师讲授外贸相关知识，结合课本的各类商务信函、文件，让学生实际操练</w:t>
            </w:r>
          </w:p>
          <w:p>
            <w:pPr>
              <w:widowControl/>
              <w:ind w:firstLine="800" w:firstLineChars="40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了解该商务文书中可能出现的语句，会举一反三加以运用。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3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ind w:firstLine="200" w:firstLineChars="100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ind w:firstLine="200" w:firstLineChars="10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200" w:firstLineChars="10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ind w:firstLine="300" w:firstLineChars="15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  <w:t>练习组成</w:t>
            </w:r>
          </w:p>
        </w:tc>
        <w:tc>
          <w:tcPr>
            <w:tcW w:w="329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sz w:val="20"/>
                <w:szCs w:val="20"/>
              </w:rPr>
              <w:t>通过课上知识点的讲解和课后作业的实际操练，使学生具备书写商务文书的能力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21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通过练习考查本课知识掌握情况。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10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p>
      <w:pPr>
        <w:snapToGrid w:val="0"/>
        <w:spacing w:line="288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撰写人：章培新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系主任审核签名： </w:t>
      </w:r>
      <w:r>
        <w:rPr>
          <w:rFonts w:ascii="Calibri" w:hAnsi="Calibri" w:eastAsia="宋体" w:cs="Times New Roman"/>
        </w:rPr>
        <w:drawing>
          <wp:inline distT="0" distB="0" distL="0" distR="0">
            <wp:extent cx="1600200" cy="581025"/>
            <wp:effectExtent l="0" t="0" r="0" b="952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</w:t>
      </w:r>
    </w:p>
    <w:p>
      <w:pPr>
        <w:snapToGrid w:val="0"/>
        <w:spacing w:line="288" w:lineRule="auto"/>
        <w:ind w:firstLine="4340" w:firstLineChars="1550"/>
      </w:pPr>
      <w:r>
        <w:rPr>
          <w:rFonts w:hint="eastAsia"/>
          <w:sz w:val="28"/>
          <w:szCs w:val="28"/>
        </w:rPr>
        <w:t>审核时间：2022.2.18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3DFE8"/>
    <w:multiLevelType w:val="singleLevel"/>
    <w:tmpl w:val="59B3DFE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749"/>
    <w:rsid w:val="000137D9"/>
    <w:rsid w:val="00015087"/>
    <w:rsid w:val="000F017C"/>
    <w:rsid w:val="00114D6A"/>
    <w:rsid w:val="00130B0F"/>
    <w:rsid w:val="001607FB"/>
    <w:rsid w:val="001766EE"/>
    <w:rsid w:val="0018424C"/>
    <w:rsid w:val="001873A6"/>
    <w:rsid w:val="00194EEF"/>
    <w:rsid w:val="001A1DAA"/>
    <w:rsid w:val="001B2998"/>
    <w:rsid w:val="001C10EE"/>
    <w:rsid w:val="001D0310"/>
    <w:rsid w:val="001D0D84"/>
    <w:rsid w:val="001F2FA5"/>
    <w:rsid w:val="00216961"/>
    <w:rsid w:val="0027174A"/>
    <w:rsid w:val="00272A65"/>
    <w:rsid w:val="002A3F11"/>
    <w:rsid w:val="002D504B"/>
    <w:rsid w:val="002D7B54"/>
    <w:rsid w:val="00340A17"/>
    <w:rsid w:val="003772F1"/>
    <w:rsid w:val="0037771E"/>
    <w:rsid w:val="00377A75"/>
    <w:rsid w:val="00380577"/>
    <w:rsid w:val="00391E0F"/>
    <w:rsid w:val="003A3FFC"/>
    <w:rsid w:val="003A63EF"/>
    <w:rsid w:val="003B76DC"/>
    <w:rsid w:val="003C2C4C"/>
    <w:rsid w:val="003D0AB6"/>
    <w:rsid w:val="003F16AE"/>
    <w:rsid w:val="00416C1A"/>
    <w:rsid w:val="00447669"/>
    <w:rsid w:val="00485039"/>
    <w:rsid w:val="004C635A"/>
    <w:rsid w:val="004C6C22"/>
    <w:rsid w:val="00503A6F"/>
    <w:rsid w:val="00523EA8"/>
    <w:rsid w:val="005B1E1D"/>
    <w:rsid w:val="005B3E0A"/>
    <w:rsid w:val="005D53DE"/>
    <w:rsid w:val="00632FC8"/>
    <w:rsid w:val="00636B11"/>
    <w:rsid w:val="00680CAC"/>
    <w:rsid w:val="00680EB8"/>
    <w:rsid w:val="006B539D"/>
    <w:rsid w:val="006D64E3"/>
    <w:rsid w:val="006E0098"/>
    <w:rsid w:val="006E2BC9"/>
    <w:rsid w:val="007E0D92"/>
    <w:rsid w:val="007F75FB"/>
    <w:rsid w:val="008133FC"/>
    <w:rsid w:val="00836008"/>
    <w:rsid w:val="008561B1"/>
    <w:rsid w:val="008A4685"/>
    <w:rsid w:val="008B0C19"/>
    <w:rsid w:val="008E0BB1"/>
    <w:rsid w:val="008E13CE"/>
    <w:rsid w:val="008E5D3D"/>
    <w:rsid w:val="0093571F"/>
    <w:rsid w:val="00941839"/>
    <w:rsid w:val="00963768"/>
    <w:rsid w:val="00985CC8"/>
    <w:rsid w:val="009B0A4A"/>
    <w:rsid w:val="009B5FF1"/>
    <w:rsid w:val="009D1130"/>
    <w:rsid w:val="009D7DAC"/>
    <w:rsid w:val="009F30DF"/>
    <w:rsid w:val="009F6041"/>
    <w:rsid w:val="00A01F2B"/>
    <w:rsid w:val="00A10AEF"/>
    <w:rsid w:val="00A409C1"/>
    <w:rsid w:val="00A421C6"/>
    <w:rsid w:val="00A46AE1"/>
    <w:rsid w:val="00A874C2"/>
    <w:rsid w:val="00AA3DB5"/>
    <w:rsid w:val="00AD7D72"/>
    <w:rsid w:val="00AE0E94"/>
    <w:rsid w:val="00B64D0C"/>
    <w:rsid w:val="00BD56E8"/>
    <w:rsid w:val="00BE3736"/>
    <w:rsid w:val="00BF2721"/>
    <w:rsid w:val="00C067DD"/>
    <w:rsid w:val="00C17FE6"/>
    <w:rsid w:val="00C55567"/>
    <w:rsid w:val="00C63FD8"/>
    <w:rsid w:val="00C8387B"/>
    <w:rsid w:val="00C84C04"/>
    <w:rsid w:val="00CB5D57"/>
    <w:rsid w:val="00CD6FD9"/>
    <w:rsid w:val="00D20AB5"/>
    <w:rsid w:val="00D41851"/>
    <w:rsid w:val="00D6713F"/>
    <w:rsid w:val="00DB3395"/>
    <w:rsid w:val="00DC7DB5"/>
    <w:rsid w:val="00DD7EBA"/>
    <w:rsid w:val="00DE2B85"/>
    <w:rsid w:val="00E21D51"/>
    <w:rsid w:val="00E529D8"/>
    <w:rsid w:val="00E62480"/>
    <w:rsid w:val="00E76385"/>
    <w:rsid w:val="00E7702E"/>
    <w:rsid w:val="00E93612"/>
    <w:rsid w:val="00F064B1"/>
    <w:rsid w:val="00F070C7"/>
    <w:rsid w:val="00F22967"/>
    <w:rsid w:val="00F73244"/>
    <w:rsid w:val="00F903AC"/>
    <w:rsid w:val="00F94D88"/>
    <w:rsid w:val="00FE1749"/>
    <w:rsid w:val="00FE540F"/>
    <w:rsid w:val="44A433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8">
    <w:name w:val="toc 2"/>
    <w:basedOn w:val="1"/>
    <w:next w:val="1"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99"/>
    <w:rPr>
      <w:color w:val="0000FF" w:themeColor="hyperlink"/>
      <w:u w:val="single"/>
    </w:rPr>
  </w:style>
  <w:style w:type="character" w:customStyle="1" w:styleId="14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16">
    <w:name w:val="批注框文本 字符"/>
    <w:basedOn w:val="12"/>
    <w:link w:val="4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37EDE-A983-48BC-8762-87D567280B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542</Words>
  <Characters>3092</Characters>
  <Lines>25</Lines>
  <Paragraphs>7</Paragraphs>
  <TotalTime>167</TotalTime>
  <ScaleCrop>false</ScaleCrop>
  <LinksUpToDate>false</LinksUpToDate>
  <CharactersWithSpaces>3627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2019-04-02T00:48:00Z</dcterms:created>
  <dc:creator>AutoBVT</dc:creator>
  <cp:lastModifiedBy>Administrator</cp:lastModifiedBy>
  <dcterms:modified xsi:type="dcterms:W3CDTF">2022-02-21T03:10:59Z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2EA8E7C0CE4D43F5AFCD0D021D5DF8FB</vt:lpwstr>
  </property>
</Properties>
</file>