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《 日语概说</w:t>
      </w:r>
      <w:r>
        <w:rPr>
          <w:rFonts w:ascii="黑体" w:hAnsi="黑体" w:eastAsia="黑体"/>
          <w:bCs/>
          <w:sz w:val="32"/>
          <w:szCs w:val="32"/>
        </w:rPr>
        <w:t xml:space="preserve"> </w:t>
      </w:r>
      <w:r>
        <w:rPr>
          <w:rFonts w:hint="eastAsia" w:ascii="黑体" w:hAnsi="黑体" w:eastAsia="黑体"/>
          <w:bCs/>
          <w:sz w:val="32"/>
          <w:szCs w:val="32"/>
        </w:rPr>
        <w:t>》本科课程教学大纲</w:t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ascii="黑体" w:hAnsi="宋体"/>
        </w:rPr>
        <w:t>一</w:t>
      </w:r>
      <w:r>
        <w:rPr>
          <w:rFonts w:hint="eastAsia" w:ascii="黑体" w:hAnsi="宋体"/>
        </w:rPr>
        <w:t>、课程</w:t>
      </w:r>
      <w:r>
        <w:rPr>
          <w:rFonts w:ascii="黑体" w:hAnsi="宋体"/>
        </w:rPr>
        <w:t>基本信息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rFonts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（中文）日语概说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（英文）Introduction to Japanese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2140026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272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适用</w:t>
            </w:r>
            <w:r>
              <w:rPr>
                <w:rFonts w:ascii="黑体" w:hAnsi="黑体" w:eastAsia="黑体"/>
                <w:color w:val="000000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日语专业第4学期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专业选修课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《日语概说》、皮细庚、9787810462426、上海外语教育出版社、2019年版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是否为</w:t>
            </w:r>
          </w:p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ind w:left="120" w:leftChars="5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jc w:val="both"/>
            </w:pPr>
            <w:r>
              <w:rPr>
                <w:rFonts w:hint="eastAsia"/>
              </w:rPr>
              <w:t>基础日语（3） 2140022 (10)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163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一、目的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日语概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说</w:t>
            </w:r>
            <w:r>
              <w:rPr>
                <w:rFonts w:hint="eastAsia"/>
                <w:sz w:val="20"/>
                <w:szCs w:val="20"/>
              </w:rPr>
              <w:t>作为日语专业课程之一，在设置中为二年级后半选修课。目的是通过日语概说教学，以课程思政为主导前提，旨在帮助学生理解基本知识，为今后进一步深造打下基础。作为本课程教学的基本目标，是通过日语概论的教学讲授，并结合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起到促进作用。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二、内容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课程教材由四大章组成，各大章又有若干节组成，内容充实知识点丰富。各章节不仅配有知识点解说，而且各章节都有相应练习题，能加深理解所学内容。其中，第一章第三章（前半）为语言一般专业知识解说，第四（后半）为语言主要内容的语法知识解说。本教材内容涉及词汇面广，涵盖了日语语言学的基本内容。作为日语本科生选修教材使用时，必须在充分理解的基础上，强调提高记忆与运用的重要性。根据教材的内容重点篇幅多少，采用灵活课时调整展开授课。即考虑到教材每个章节的不平衡，根据内容篇幅分配课时。课外练习、阅读文献及作业等时间不计在内。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课程思政教学理念贯穿整个教学过程，通过教学达到深化本课程的认识，学会以现代汉语汉字文化为中心，确认古代优秀语言文化的辉煌，探讨在学习日语中的重要作用。</w:t>
            </w:r>
          </w:p>
          <w:p>
            <w:pPr>
              <w:widowControl w:val="0"/>
              <w:snapToGrid w:val="0"/>
              <w:spacing w:line="288" w:lineRule="auto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三、预期成果</w:t>
            </w:r>
          </w:p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课程通过日语概论的教学讲授，并结合第二课堂的预习与复习，要求学生通过本课程的学习考核，大致掌握日语概论的基础知识，加深了解一些较难的专业知识，并且能够利用所学的语言学知识，参与造句改错逐步形成自己见解，提高日语的综合理解运用能力，为今后学习高年级日语语言知识，为顺利通过各类日语等级考试等，起到积极的促进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1403" w:hRule="atLeast"/>
        </w:trPr>
        <w:tc>
          <w:tcPr>
            <w:tcW w:w="1691" w:type="dxa"/>
            <w:tcBorders>
              <w:left w:val="single" w:color="auto" w:sz="12" w:space="0"/>
              <w:bottom w:val="doub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18"/>
              </w:rPr>
            </w:pPr>
            <w:r>
              <w:rPr>
                <w:rFonts w:ascii="黑体" w:hAnsi="黑体" w:eastAsia="黑体"/>
                <w:color w:val="000000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/>
                <w:color w:val="000000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color="auto" w:sz="4" w:space="0"/>
              <w:right w:val="single" w:color="auto" w:sz="12" w:space="0"/>
            </w:tcBorders>
          </w:tcPr>
          <w:p>
            <w:pPr>
              <w:widowControl w:val="0"/>
              <w:snapToGrid w:val="0"/>
              <w:spacing w:line="288" w:lineRule="auto"/>
              <w:ind w:firstLine="400" w:firstLineChars="200"/>
              <w:jc w:val="both"/>
            </w:pPr>
            <w:r>
              <w:rPr>
                <w:rFonts w:hint="eastAsia"/>
                <w:sz w:val="20"/>
                <w:szCs w:val="20"/>
              </w:rPr>
              <w:t>本课程适合日语本科专业学生开设。学生学完基础日语综合课程，具有初级基础语法词汇知识。由于本课程主要讲授日语综合知识，因此建议学生针对相关知识点，阅读相关课外专业文献加深理解，要求加大第二课堂的投入力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11" w:hRule="atLeast"/>
        </w:trPr>
        <w:tc>
          <w:tcPr>
            <w:tcW w:w="1691" w:type="dxa"/>
            <w:tcBorders>
              <w:top w:val="double" w:color="auto" w:sz="4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cs="楷体"/>
                <w:bCs/>
              </w:rPr>
              <w:drawing>
                <wp:inline distT="0" distB="0" distL="0" distR="0">
                  <wp:extent cx="1035050" cy="304800"/>
                  <wp:effectExtent l="0" t="0" r="12700" b="0"/>
                  <wp:docPr id="1026" name="图片 1" descr="dcd2a6280861b3352353d386ddf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 descr="dcd2a6280861b3352353d386ddf6082"/>
                          <pic:cNvPicPr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50" cy="304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color="auto" w:sz="4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sz w:val="21"/>
                <w:szCs w:val="21"/>
              </w:rPr>
              <w:t>2024．1.1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drawing>
                <wp:inline distT="0" distB="0" distL="0" distR="0">
                  <wp:extent cx="667385" cy="283845"/>
                  <wp:effectExtent l="0" t="0" r="0" b="1905"/>
                  <wp:docPr id="102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966" cy="284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2024.2.20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691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right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drawing>
                <wp:inline distT="0" distB="0" distL="0" distR="0">
                  <wp:extent cx="635000" cy="247650"/>
                  <wp:effectExtent l="0" t="0" r="0" b="0"/>
                  <wp:docPr id="102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2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40" cy="248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黑体" w:hAnsi="黑体" w:eastAsia="黑体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</w:rPr>
              <w:t>2024.2.20</w:t>
            </w:r>
          </w:p>
        </w:tc>
      </w:tr>
    </w:tbl>
    <w:p>
      <w:pPr>
        <w:spacing w:line="100" w:lineRule="exact"/>
        <w:rPr>
          <w:rFonts w:ascii="Arial" w:hAnsi="Arial" w:eastAsia="黑体"/>
        </w:rPr>
      </w:pPr>
      <w:r>
        <w:br w:type="page"/>
      </w:r>
    </w:p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二、课程目标与毕业要求</w:t>
      </w:r>
    </w:p>
    <w:p>
      <w:pPr>
        <w:pStyle w:val="17"/>
        <w:spacing w:before="81" w:after="163"/>
      </w:pPr>
      <w:r>
        <w:rPr>
          <w:rFonts w:hint="eastAsia"/>
        </w:rPr>
        <w:t xml:space="preserve">（一）课程目标 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了解日语语言学基本知识点，包括语音、语义，词汇的发展变化。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加深理解语法知识，能通过理论解释基本语法现象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能通过汉日语言对比，举例进行分析归纳与总结，诠释这种对比的积极意义。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结合所学的理论知识，搜集相关学习资源，制定具体的学习计划，通过不断理解充实内容，逐渐具有完整性框架结构。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素养目标</w:t>
            </w:r>
          </w:p>
          <w:p>
            <w:pPr>
              <w:snapToGrid w:val="0"/>
              <w:jc w:val="center"/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了解日语语言学理论、日语中的汉字汉语，增强对传统语言文化的自信心，加深了解汉字汉语的博大精深，树立爱国、敬业的价值观。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06" w:type="dxa"/>
            <w:vMerge w:val="continue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sz w:val="21"/>
                <w:szCs w:val="18"/>
              </w:rPr>
              <w:t>6</w:t>
            </w:r>
          </w:p>
        </w:tc>
        <w:tc>
          <w:tcPr>
            <w:tcW w:w="6306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学会从语言学的枯燥性中发现乐趣，增强不断提高学习效率的意识。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>（二）课程支撑的毕业要求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LO1品德修养</w:t>
            </w:r>
            <w:r>
              <w:rPr>
                <w:bCs/>
                <w:sz w:val="21"/>
                <w:szCs w:val="21"/>
              </w:rPr>
              <w:t>：拥护</w:t>
            </w:r>
            <w:r>
              <w:rPr>
                <w:rFonts w:hint="eastAsia"/>
                <w:bCs/>
                <w:sz w:val="21"/>
                <w:szCs w:val="21"/>
              </w:rPr>
              <w:t>中国共产</w:t>
            </w:r>
            <w:r>
              <w:rPr>
                <w:bCs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/>
                <w:bCs/>
                <w:sz w:val="21"/>
                <w:szCs w:val="21"/>
              </w:rPr>
              <w:t>“感恩、回报、爱心、责任”</w:t>
            </w:r>
            <w:r>
              <w:rPr>
                <w:bCs/>
                <w:sz w:val="21"/>
                <w:szCs w:val="21"/>
              </w:rPr>
              <w:t>八字校训，积极服务他人、服务社会、诚信尽责、爱岗敬业。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①爱党爱国，坚决拥护党的领导，热爱祖国的大好河山、悠久历史、灿烂文化，自觉维护民族利益和国家尊严。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LO2专业能力</w:t>
            </w:r>
            <w:r>
              <w:rPr>
                <w:bCs/>
                <w:sz w:val="21"/>
                <w:szCs w:val="21"/>
              </w:rPr>
              <w:t>：</w:t>
            </w:r>
          </w:p>
          <w:p>
            <w:pPr>
              <w:pStyle w:val="15"/>
              <w:widowControl w:val="0"/>
              <w:tabs>
                <w:tab w:val="left" w:pos="4200"/>
              </w:tabs>
              <w:spacing w:line="440" w:lineRule="exact"/>
              <w:ind w:firstLine="0" w:firstLineChars="0"/>
              <w:jc w:val="both"/>
              <w:outlineLvl w:val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②掌握日语语言学、文学等相关知识，具备文学欣赏与文本分析能力。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LO4自主学习</w:t>
            </w:r>
            <w:r>
              <w:rPr>
                <w:bCs/>
                <w:sz w:val="21"/>
                <w:szCs w:val="21"/>
              </w:rPr>
              <w:t>：</w:t>
            </w:r>
          </w:p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能根据环境需要确定自己的学习目标，并主动地通过搜集信息、分析信息、讨论、实践、质疑、创造等方法来实现学习目标。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能根据需要确定学习目标，并设计学习计划。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widowControl w:val="0"/>
              <w:tabs>
                <w:tab w:val="left" w:pos="4200"/>
              </w:tabs>
              <w:spacing w:line="440" w:lineRule="exact"/>
              <w:jc w:val="both"/>
              <w:rPr>
                <w:bCs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LO6协同创新</w:t>
            </w:r>
            <w:r>
              <w:rPr>
                <w:bCs/>
                <w:sz w:val="21"/>
                <w:szCs w:val="21"/>
              </w:rPr>
              <w:t>：同群体保持良好的合作关系，做集体中的积极成员，善于自我管理和团队管理；善于从多个维度思考问题，利用自己的知识与实践来提出新设想。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②</w:t>
            </w:r>
            <w:r>
              <w:rPr>
                <w:bCs/>
              </w:rPr>
              <w:t>有质疑精神，能有逻辑的分析与批判。</w:t>
            </w:r>
          </w:p>
        </w:tc>
      </w:tr>
    </w:tbl>
    <w:p>
      <w:pPr>
        <w:pStyle w:val="17"/>
        <w:spacing w:before="163" w:beforeLines="50" w:after="163"/>
      </w:pPr>
      <w:r>
        <w:rPr>
          <w:rFonts w:hint="eastAsia"/>
        </w:rPr>
        <w:t xml:space="preserve">（三）毕业要求与课程目标的关系 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80"/>
        <w:gridCol w:w="797"/>
        <w:gridCol w:w="797"/>
        <w:gridCol w:w="4753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 w:ascii="黑体" w:hAnsi="黑体"/>
                <w:szCs w:val="18"/>
              </w:rPr>
              <w:t>毕业要求</w:t>
            </w:r>
          </w:p>
        </w:tc>
        <w:tc>
          <w:tcPr>
            <w:tcW w:w="794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94" w:type="dxa"/>
            <w:tcBorders>
              <w:top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763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929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LO1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5.了解日语语言学理论、日语中的汉字汉语，增强对传统语言文化的自信心，加深了解汉字汉语的博大精深，树立爱国、敬业的价值观。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  <w:r>
              <w:t>LO</w:t>
            </w:r>
            <w:r>
              <w:rPr>
                <w:rFonts w:hint="eastAsia"/>
              </w:rPr>
              <w:t>2</w:t>
            </w:r>
          </w:p>
        </w:tc>
        <w:tc>
          <w:tcPr>
            <w:tcW w:w="79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94" w:type="dxa"/>
            <w:vMerge w:val="restart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H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1.了解日语语言学基本知识点，包括语音、语义，词汇的发展变化。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2.加深理解语法知识，能通过理论解释基本语法现象。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4"/>
            </w:pPr>
          </w:p>
        </w:tc>
        <w:tc>
          <w:tcPr>
            <w:tcW w:w="79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</w:p>
        </w:tc>
        <w:tc>
          <w:tcPr>
            <w:tcW w:w="794" w:type="dxa"/>
            <w:vMerge w:val="continue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3.能通过汉日语言对比，举例进行分析归纳与总结，诠释这种对比的积极意义。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</w:pPr>
            <w:r>
              <w:t>LO</w:t>
            </w:r>
            <w:r>
              <w:rPr>
                <w:rFonts w:hint="eastAsia"/>
              </w:rPr>
              <w:t>4</w:t>
            </w:r>
          </w:p>
        </w:tc>
        <w:tc>
          <w:tcPr>
            <w:tcW w:w="794" w:type="dxa"/>
            <w:tcBorders>
              <w:left w:val="single" w:color="auto" w:sz="4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①</w:t>
            </w:r>
          </w:p>
        </w:tc>
        <w:tc>
          <w:tcPr>
            <w:tcW w:w="794" w:type="dxa"/>
            <w:tcBorders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M</w:t>
            </w:r>
          </w:p>
        </w:tc>
        <w:tc>
          <w:tcPr>
            <w:tcW w:w="4763" w:type="dxa"/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4.结合所学的理论知识，搜集相关学习资源，制定具体的学习计划，通过不断理解充实内容，逐渐具有完整性框架结构。</w:t>
            </w:r>
          </w:p>
        </w:tc>
        <w:tc>
          <w:tcPr>
            <w:tcW w:w="1348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77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</w:tcPr>
          <w:p>
            <w:pPr>
              <w:pStyle w:val="14"/>
            </w:pPr>
            <w:r>
              <w:t>LO</w:t>
            </w:r>
            <w:r>
              <w:rPr>
                <w:rFonts w:hint="eastAsia"/>
              </w:rPr>
              <w:t>6</w:t>
            </w:r>
          </w:p>
        </w:tc>
        <w:tc>
          <w:tcPr>
            <w:tcW w:w="794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pStyle w:val="14"/>
              <w:rPr>
                <w:rFonts w:cs="Times New Roman"/>
                <w:bCs/>
              </w:rPr>
            </w:pPr>
            <w:r>
              <w:rPr>
                <w:rFonts w:hint="eastAsia" w:cs="Times New Roman"/>
                <w:bCs/>
              </w:rPr>
              <w:t>②</w:t>
            </w:r>
          </w:p>
        </w:tc>
        <w:tc>
          <w:tcPr>
            <w:tcW w:w="794" w:type="dxa"/>
            <w:tcBorders>
              <w:bottom w:val="single" w:color="auto" w:sz="12" w:space="0"/>
              <w:right w:val="double" w:color="auto" w:sz="4" w:space="0"/>
            </w:tcBorders>
            <w:shd w:val="clear" w:color="auto" w:fill="auto"/>
            <w:vAlign w:val="center"/>
          </w:tcPr>
          <w:p>
            <w:pPr>
              <w:pStyle w:val="1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L</w:t>
            </w:r>
          </w:p>
        </w:tc>
        <w:tc>
          <w:tcPr>
            <w:tcW w:w="4763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6.学会从语言学的枯燥性中发现乐趣，增强不断提高学习效率的意识。</w:t>
            </w:r>
          </w:p>
        </w:tc>
        <w:tc>
          <w:tcPr>
            <w:tcW w:w="1348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100</w:t>
            </w: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三、</w:t>
      </w:r>
      <w:r>
        <w:rPr>
          <w:rFonts w:ascii="黑体" w:hAnsi="宋体"/>
        </w:rPr>
        <w:t>课程内容</w:t>
      </w:r>
      <w:r>
        <w:rPr>
          <w:rFonts w:hint="eastAsia" w:ascii="黑体" w:hAnsi="宋体"/>
        </w:rPr>
        <w:t>与教学设计</w:t>
      </w:r>
    </w:p>
    <w:p>
      <w:pPr>
        <w:pStyle w:val="17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bookmarkStart w:id="0" w:name="OLE_LINK5"/>
            <w:bookmarkStart w:id="1" w:name="OLE_LINK6"/>
            <w:r>
              <w:rPr>
                <w:rFonts w:hint="eastAsia" w:ascii="宋体" w:hAnsi="宋体"/>
                <w:b/>
              </w:rPr>
              <w:t>第一单元</w:t>
            </w:r>
            <w:r>
              <w:rPr>
                <w:rFonts w:hint="eastAsia" w:ascii="宋体" w:hAnsi="宋体"/>
                <w:bCs/>
              </w:rPr>
              <w:t>：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日语语言学的研究领域与视点，日语语音的特征与变化，语音与单词的关系，语音变化对日语的影响方面。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·了解单音音素音节（1）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·了解语音变化（1）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·了解音便与清浊（1）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·了解添音、略音与转呼音（1）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·了解特殊音的机制（1）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·了解声调与重音（1）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·了解文字种类性质（1）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·了解汉字的传入（2）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·了解假名的形成（2）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核心知识为：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语音从解释角度而言，具有一定的学术性特点，对目前学生来说有一定的难度，只能通过具体例子达到若干理解。清浊是日语词汇的显著特点之一，很难对读音规则进行归纳，因为例外的例子也不少。学习中需要理解这种特点，尤其要关注和语同汉语词汇的差异。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教学难点为：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·日语语音的物理属性 (1)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·语音变化对词汇的影响(2)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·清浊音的理解与掌握(1)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·日语中的汉字发展变化(1)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·汉字与假名的关系(1)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第二单元：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日语词汇具有数量多结构复杂的特点。分类如“基本词汇与基础词汇”。也有词源词类语法方面的分类，多方面构成了庞大的词汇系统。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了解罗马字的形成（2）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·了解词汇与单词（3）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·了解日语词汇与词汇体系（3）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·了解单词的构造（3）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核心知识为：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·日语词汇具有系统性，需要通过例子比较学习，并结合具体例子加深理解(2)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·日语词汇分类标准不同，学习中需要理解各自特点，尤其要关注词汇的各种差异(2)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·从词汇系统角度，观察复合词的结构类型、语音同词汇的关系。需要通过例子比较学习，并结合说明加深理解(2)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  <w:sz w:val="20"/>
                <w:szCs w:val="20"/>
              </w:rPr>
              <w:t xml:space="preserve">学难点为： 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·词汇的词汇体系还比较陌生，尽量能通过本课程的学习，初步理解与熟悉重要知识点。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·日语词汇涉及的结构范围较广，各种包含的对象内容不容易区别，需要不断积累达到记住。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·复合词具有不同的结构类型，由于在平时教学中不太涉及，因此理解并记住受到制约。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</w:p>
          <w:p>
            <w:pPr>
              <w:pStyle w:val="14"/>
              <w:widowControl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第三单元：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单词的语义可以划分多种类型，呈现出词义分类的体系性。日语单词的来源有三大类，位相也是词汇课题。其中语法最为重要。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·了解词义的分类（3）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·了解单词的来源（3）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·了解单词的位相（3）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·了解语法性质特点（4）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·了解句法的内容（4）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·了解词类的划分（4）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核心知识为：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·了解词义分类的标准与意义(2)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·了解日语词源对日语的影响(1)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·了解日语词汇中的位相(1)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·了解句法在日语中的定位(2)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·了解词类划分与汉语的差异(2)</w:t>
            </w:r>
          </w:p>
          <w:p>
            <w:pPr>
              <w:widowControl w:val="0"/>
              <w:snapToGrid w:val="0"/>
              <w:spacing w:line="288" w:lineRule="auto"/>
              <w:jc w:val="left"/>
            </w:pPr>
            <w:r>
              <w:rPr>
                <w:rFonts w:hint="eastAsia"/>
                <w:sz w:val="21"/>
                <w:szCs w:val="21"/>
              </w:rPr>
              <w:t>教学难点为：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·不同词类的准确认定，还有一点的难度。尽量能通过本课程的学习，初步理解与熟悉重要知识点。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·日语的汉语音读动词比较多，容易与现代汉语中的同形词混淆。这方面的正确理解很重要，需要通过对比加深理解。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·日语的词类划分标准，与现代汉语相比有些相同哪些不同，但是教材在这方面介绍不够。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</w:p>
          <w:p>
            <w:pPr>
              <w:pStyle w:val="14"/>
              <w:widowControl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第四单元：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体言在日语中占据重要地位，尤其是形式体言，经过语法化过程形成特殊用法，成为日语各类考试的重点。其次连体词、副词、接续词，也是语法重点之一。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·了解体言的性质（4）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·了解名词数词代词（4）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·了解形式体言（4）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·了解连体词、副词、接续词以及感叹词（4）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核心知识为：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·要求了解体言的基本性质与语法(1)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·要求了解常用形式体言的用法(2)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·要求结合专四真题的解体，加深了解形式体言在试题中的出现概率(1)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·确认副词中的陈述副词种类(1)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·确认接续词的接续功能特点(1)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教学难点为：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·形式体言的语义较多，制约了理解与使用空间。这种学习比较花费时间，需要不断对比加深理解。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·陈述副词具有搭配特征，也是引起误用的原因，需要化时间进行整理归类，因此重要的是平时的积累。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·接续词具有多种类型，其中近义接续词也不少，对正确理解使用带来困难，需要耐心比较逐渐扩大知识面。 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</w:p>
          <w:p>
            <w:pPr>
              <w:pStyle w:val="14"/>
              <w:widowControl w:val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第五单元：</w:t>
            </w:r>
          </w:p>
          <w:p>
            <w:pPr>
              <w:pStyle w:val="14"/>
              <w:widowControl w:val="0"/>
              <w:ind w:firstLine="400" w:firstLineChars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日语的基本助动词与常用助词。这些助动词与助词，已经成为日语各类考试的重点。助词中的接续助词与副助词，是助词的重中之重。其次敬语内容也需重视，其复杂性也成为各类考试的内容之一。</w:t>
            </w:r>
          </w:p>
          <w:p>
            <w:pPr>
              <w:widowControl w:val="0"/>
              <w:snapToGrid w:val="0"/>
              <w:spacing w:line="288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本单元要学习的内容章节有：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·了解助动词性质分类（4）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·了解助动词问题点（4）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·了解助词性质与格助词（4）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·了解接续助词与副助词（4）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·了解敬语性质分类（4）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核心知识</w:t>
            </w:r>
            <w:r>
              <w:rPr>
                <w:rFonts w:hint="eastAsia"/>
                <w:sz w:val="20"/>
                <w:szCs w:val="20"/>
              </w:rPr>
              <w:t>为：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·助动词的分类与及其问题点、容易在使用中忽然(1.5)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·了解助词形成历史(1.5)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·动词助动词使用过程(1.5)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·掌握日语的正确书写格式（1.5）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教学难点为：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·不同助词的正确使用较难把握</w:t>
            </w:r>
          </w:p>
          <w:p>
            <w:pPr>
              <w:pStyle w:val="14"/>
              <w:widowControl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·助动词的正确使用仍有难度</w:t>
            </w: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  <w:r>
              <w:rPr>
                <w:rFonts w:hint="eastAsia"/>
                <w:sz w:val="20"/>
                <w:szCs w:val="20"/>
              </w:rPr>
              <w:t>·敬语的正确使用需要理解误用原因</w:t>
            </w:r>
          </w:p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</w:tc>
      </w:tr>
      <w:bookmarkEnd w:id="0"/>
      <w:bookmarkEnd w:id="1"/>
    </w:tbl>
    <w:p>
      <w:pPr>
        <w:pStyle w:val="17"/>
        <w:spacing w:before="81" w:after="163"/>
      </w:pPr>
      <w:r>
        <w:rPr>
          <w:rFonts w:hint="eastAsia"/>
        </w:rPr>
        <w:t>（二）教学单元对课程目标的支撑关系</w:t>
      </w:r>
    </w:p>
    <w:p>
      <w:pPr>
        <w:pStyle w:val="17"/>
        <w:spacing w:before="81" w:after="163"/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874"/>
        <w:gridCol w:w="1100"/>
        <w:gridCol w:w="1100"/>
        <w:gridCol w:w="1101"/>
        <w:gridCol w:w="1100"/>
        <w:gridCol w:w="1100"/>
        <w:gridCol w:w="1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1878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</w:tcPr>
          <w:p>
            <w:pPr>
              <w:pStyle w:val="13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>
            <w:pPr>
              <w:pStyle w:val="13"/>
              <w:ind w:right="210"/>
              <w:jc w:val="left"/>
              <w:rPr>
                <w:szCs w:val="16"/>
              </w:rPr>
            </w:pPr>
          </w:p>
          <w:p>
            <w:pPr>
              <w:pStyle w:val="13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100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99" w:type="dxa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  <w:tc>
          <w:tcPr>
            <w:tcW w:w="1100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rPr>
                <w:szCs w:val="16"/>
              </w:rPr>
            </w:pPr>
            <w:r>
              <w:rPr>
                <w:rFonts w:hint="eastAsia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第一单元：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第一章语音、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第二章文字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第二单元：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第二章文字、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第三章词汇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第三单元：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第三章词汇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第四单元：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第四章语法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100" w:type="dxa"/>
            <w:vAlign w:val="center"/>
          </w:tcPr>
          <w:p>
            <w:pPr>
              <w:pStyle w:val="14"/>
            </w:pPr>
          </w:p>
        </w:tc>
        <w:tc>
          <w:tcPr>
            <w:tcW w:w="1099" w:type="dxa"/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78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第五单元：</w:t>
            </w:r>
          </w:p>
          <w:p>
            <w:pPr>
              <w:pStyle w:val="14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第四章语法</w:t>
            </w: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  <w:r>
              <w:rPr>
                <w:rFonts w:hint="eastAsia"/>
              </w:rPr>
              <w:t>√</w:t>
            </w:r>
          </w:p>
        </w:tc>
        <w:tc>
          <w:tcPr>
            <w:tcW w:w="1099" w:type="dxa"/>
            <w:tcBorders>
              <w:bottom w:val="single" w:color="auto" w:sz="12" w:space="0"/>
            </w:tcBorders>
            <w:vAlign w:val="center"/>
          </w:tcPr>
          <w:p>
            <w:pPr>
              <w:pStyle w:val="14"/>
            </w:pPr>
          </w:p>
        </w:tc>
        <w:tc>
          <w:tcPr>
            <w:tcW w:w="11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4"/>
            </w:pPr>
          </w:p>
        </w:tc>
      </w:tr>
    </w:tbl>
    <w:p>
      <w:pPr>
        <w:pStyle w:val="17"/>
        <w:spacing w:before="326" w:beforeLines="100" w:after="163"/>
      </w:pPr>
      <w:r>
        <w:rPr>
          <w:rFonts w:hint="eastAsia"/>
        </w:rPr>
        <w:t>（三）课程教学方法与学时分配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1872"/>
        <w:gridCol w:w="2755"/>
        <w:gridCol w:w="1738"/>
        <w:gridCol w:w="725"/>
        <w:gridCol w:w="669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教学单元</w:t>
            </w:r>
          </w:p>
        </w:tc>
        <w:tc>
          <w:tcPr>
            <w:tcW w:w="2690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考核方式</w:t>
            </w:r>
          </w:p>
        </w:tc>
        <w:tc>
          <w:tcPr>
            <w:tcW w:w="206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3"/>
              <w:widowControl w:val="0"/>
              <w:rPr>
                <w:rFonts w:ascii="黑体" w:hAnsi="黑体"/>
                <w:szCs w:val="21"/>
              </w:rPr>
            </w:pPr>
            <w:r>
              <w:rPr>
                <w:rFonts w:hint="eastAsia" w:ascii="黑体" w:hAnsi="黑体"/>
                <w:szCs w:val="21"/>
              </w:rPr>
              <w:t>学时</w:t>
            </w:r>
            <w:r>
              <w:rPr>
                <w:rFonts w:hint="eastAsia" w:ascii="黑体" w:hAnsi="黑体"/>
                <w:bCs w:val="0"/>
                <w:szCs w:val="21"/>
              </w:rPr>
              <w:t>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828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val="en-US"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4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828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2690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讲述教学法</w:t>
            </w:r>
          </w:p>
        </w:tc>
        <w:tc>
          <w:tcPr>
            <w:tcW w:w="1697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hint="eastAsia" w:ascii="Times New Roman" w:hAnsi="Times New Roman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  <w:lang w:eastAsia="zh-CN"/>
              </w:rPr>
              <w:t>考查</w:t>
            </w:r>
          </w:p>
        </w:tc>
        <w:tc>
          <w:tcPr>
            <w:tcW w:w="70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653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215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13"/>
              <w:widowControl w:val="0"/>
            </w:pPr>
            <w:r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  <w:tc>
          <w:tcPr>
            <w:tcW w:w="653" w:type="dxa"/>
            <w:tcBorders>
              <w:bottom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/>
                <w:bCs/>
                <w:sz w:val="21"/>
                <w:szCs w:val="21"/>
              </w:rPr>
              <w:t>32</w:t>
            </w:r>
          </w:p>
        </w:tc>
      </w:tr>
    </w:tbl>
    <w:p>
      <w:pPr>
        <w:pStyle w:val="17"/>
        <w:spacing w:before="326" w:beforeLines="100" w:after="163"/>
      </w:pPr>
    </w:p>
    <w:p>
      <w:pPr>
        <w:pStyle w:val="16"/>
        <w:spacing w:before="326" w:beforeLines="100" w:line="360" w:lineRule="auto"/>
        <w:ind w:firstLine="140" w:firstLineChars="50"/>
        <w:rPr>
          <w:rFonts w:ascii="黑体" w:hAnsi="宋体"/>
        </w:rPr>
      </w:pPr>
      <w:bookmarkStart w:id="2" w:name="OLE_LINK1"/>
      <w:bookmarkStart w:id="3" w:name="OLE_LINK2"/>
      <w:r>
        <w:rPr>
          <w:rFonts w:hint="eastAsia" w:ascii="黑体" w:hAnsi="宋体"/>
        </w:rPr>
        <w:t>四、课程思政教学设计</w:t>
      </w:r>
    </w:p>
    <w:bookmarkEnd w:id="2"/>
    <w:bookmarkEnd w:id="3"/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85" w:type="dxa"/>
            <w:bottom w:w="28" w:type="dxa"/>
            <w:right w:w="85" w:type="dxa"/>
          </w:tblCellMar>
        </w:tblPrEx>
        <w:trPr>
          <w:trHeight w:val="1128" w:hRule="atLeast"/>
        </w:trPr>
        <w:tc>
          <w:tcPr>
            <w:tcW w:w="8276" w:type="dxa"/>
            <w:vAlign w:val="center"/>
          </w:tcPr>
          <w:p>
            <w:pPr>
              <w:pStyle w:val="14"/>
              <w:widowControl w:val="0"/>
              <w:jc w:val="left"/>
            </w:pPr>
          </w:p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LO1品德修养：拥护中国共产党的领导，坚定理想信念，自觉涵养和积极弘扬社会主义核心价值观，增强政治认同、厚植家国情怀、遵守法律法规、传承雷锋精神，践行“感恩、回报、爱心、责任”八字校训，积极服务他人、服务社会、诚信尽责、爱岗敬业。</w:t>
            </w:r>
          </w:p>
          <w:p>
            <w:pPr>
              <w:pStyle w:val="14"/>
              <w:widowControl w:val="0"/>
              <w:jc w:val="left"/>
            </w:pPr>
            <w:r>
              <w:rPr>
                <w:rFonts w:hint="eastAsia"/>
              </w:rPr>
              <w:t>①爱党爱国，坚决拥护党的领导，热爱祖国的大好河山、悠久历史、灿烂文化，自觉维护民族利益和国家尊严。</w:t>
            </w:r>
          </w:p>
          <w:p>
            <w:pPr>
              <w:pStyle w:val="14"/>
              <w:widowControl w:val="0"/>
              <w:jc w:val="left"/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>五、课程考核</w:t>
      </w:r>
      <w:bookmarkStart w:id="4" w:name="OLE_LINK3"/>
      <w:bookmarkStart w:id="5" w:name="OLE_LINK4"/>
    </w:p>
    <w:bookmarkEnd w:id="4"/>
    <w:bookmarkEnd w:id="5"/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612"/>
        <w:gridCol w:w="612"/>
        <w:gridCol w:w="612"/>
        <w:gridCol w:w="612"/>
        <w:gridCol w:w="612"/>
        <w:gridCol w:w="612"/>
        <w:gridCol w:w="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>
            <w:pPr>
              <w:pStyle w:val="16"/>
              <w:widowControl w:val="0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考核方式</w:t>
            </w:r>
          </w:p>
        </w:tc>
        <w:tc>
          <w:tcPr>
            <w:tcW w:w="3672" w:type="dxa"/>
            <w:gridSpan w:val="6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  <w:sz w:val="18"/>
                <w:szCs w:val="18"/>
              </w:rPr>
              <w:t>随堂测试、课堂表现、出勤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40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9" w:type="dxa"/>
            <w:tcBorders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60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sz w:val="18"/>
                <w:szCs w:val="18"/>
                <w:lang w:val="en-US" w:eastAsia="zh-CN"/>
              </w:rPr>
              <w:t>随堂考查</w:t>
            </w:r>
          </w:p>
        </w:tc>
        <w:tc>
          <w:tcPr>
            <w:tcW w:w="612" w:type="dxa"/>
            <w:tcBorders>
              <w:left w:val="double" w:color="auto" w:sz="4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20</w:t>
            </w:r>
          </w:p>
        </w:tc>
        <w:tc>
          <w:tcPr>
            <w:tcW w:w="612" w:type="dxa"/>
            <w:tcBorders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30</w:t>
            </w:r>
          </w:p>
        </w:tc>
        <w:tc>
          <w:tcPr>
            <w:tcW w:w="612" w:type="dxa"/>
            <w:tcBorders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612" w:type="dxa"/>
            <w:tcBorders/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/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  <w:tc>
          <w:tcPr>
            <w:tcW w:w="2353" w:type="dxa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 w:eastAsia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2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</w:pP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  <w:tc>
          <w:tcPr>
            <w:tcW w:w="706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4"/>
              <w:widowControl w:val="0"/>
              <w:rPr>
                <w:rFonts w:hint="eastAsia"/>
              </w:rPr>
            </w:pPr>
          </w:p>
        </w:tc>
      </w:tr>
    </w:tbl>
    <w:p>
      <w:pPr>
        <w:pStyle w:val="17"/>
        <w:spacing w:before="326" w:beforeLines="100" w:after="163"/>
        <w:jc w:val="center"/>
        <w:rPr>
          <w:rFonts w:hint="eastAsia"/>
        </w:rPr>
      </w:pPr>
    </w:p>
    <w:p>
      <w:pPr>
        <w:pStyle w:val="17"/>
        <w:spacing w:before="326" w:beforeLines="100" w:after="163"/>
        <w:jc w:val="center"/>
      </w:pPr>
      <w:r>
        <w:rPr>
          <w:rFonts w:hint="eastAsia"/>
        </w:rPr>
        <w:t>评价标准细则（选填）</w:t>
      </w:r>
    </w:p>
    <w:tbl>
      <w:tblPr>
        <w:tblStyle w:val="8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01"/>
        <w:gridCol w:w="1438"/>
        <w:gridCol w:w="1438"/>
        <w:gridCol w:w="1439"/>
        <w:gridCol w:w="1439"/>
        <w:gridCol w:w="14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8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考核项目</w:t>
            </w:r>
          </w:p>
        </w:tc>
        <w:tc>
          <w:tcPr>
            <w:tcW w:w="701" w:type="dxa"/>
            <w:vMerge w:val="restart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课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程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目</w:t>
            </w:r>
          </w:p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标</w:t>
            </w:r>
          </w:p>
        </w:tc>
        <w:tc>
          <w:tcPr>
            <w:tcW w:w="1438" w:type="dxa"/>
            <w:vMerge w:val="restart"/>
            <w:vAlign w:val="center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考核要求</w:t>
            </w:r>
          </w:p>
        </w:tc>
        <w:tc>
          <w:tcPr>
            <w:tcW w:w="5755" w:type="dxa"/>
            <w:gridSpan w:val="4"/>
            <w:vAlign w:val="center"/>
          </w:tcPr>
          <w:p>
            <w:pPr>
              <w:pStyle w:val="16"/>
              <w:widowControl w:val="0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hint="eastAsia" w:ascii="黑体" w:hAnsi="黑体"/>
                <w:bCs/>
                <w:sz w:val="21"/>
                <w:szCs w:val="21"/>
              </w:rPr>
              <w:t>评价标准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28" w:type="dxa"/>
            <w:vMerge w:val="continue"/>
          </w:tcPr>
          <w:p>
            <w:pPr>
              <w:widowControl w:val="0"/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  <w:tc>
          <w:tcPr>
            <w:tcW w:w="701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38" w:type="dxa"/>
            <w:vMerge w:val="continue"/>
          </w:tcPr>
          <w:p>
            <w:pPr>
              <w:pStyle w:val="16"/>
              <w:widowControl w:val="0"/>
              <w:jc w:val="both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优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100-90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良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89-75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中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74-60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不及格</w:t>
            </w:r>
          </w:p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59-0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2.3.4</w:t>
            </w:r>
          </w:p>
        </w:tc>
        <w:tc>
          <w:tcPr>
            <w:tcW w:w="1438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能正确回答与章节内容有关的主观题，而且表述</w:t>
            </w:r>
            <w:bookmarkStart w:id="6" w:name="_GoBack"/>
            <w:bookmarkEnd w:id="6"/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正确规范。能正确判断所有选择题。能完整判断内容或表达错误，并且修改正确。能按要求撰写一定字数的短文。</w:t>
            </w:r>
          </w:p>
        </w:tc>
        <w:tc>
          <w:tcPr>
            <w:tcW w:w="1438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21"/>
                <w:szCs w:val="21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在试卷答案中，对各知识单元的掌握程度全面达到预期学习结果，错误率低于10%。</w:t>
            </w:r>
          </w:p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439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在试卷答案中，对各知识单元的掌握程度较好达到预期学习结果，错误率在20%左右。</w:t>
            </w:r>
          </w:p>
        </w:tc>
        <w:tc>
          <w:tcPr>
            <w:tcW w:w="1439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在试卷答案中，对各知识单元的掌握程度基本达到预期学习结果，错误率在30%左右。</w:t>
            </w:r>
          </w:p>
        </w:tc>
        <w:tc>
          <w:tcPr>
            <w:tcW w:w="1439" w:type="dxa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在试卷答案中，对各知识单元的掌握程度达不到预期学习结果，错误率在40%以上。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能正确回答与章节内容有关的主观题，并通过从各种答案中选择最合适的答案。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知识及概念掌握全面，运用得当；选择题正确，解答题完整，答案正确率超过90%,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知识及概念掌握较全面，能够运用；选择题解答题基本正确、完整，答案正确率超过75%。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知识及概念掌握程度一般，不能正确运用；解答题存在错误，答案正确率超过60%。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没有掌握知识及概念，不会运用基本原理及方法；解答题错误且不完整，答案正确率低于60%。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能正确回答与章节内容有关的主观题，并通过从各种答案中选择最合适的答案。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知识及概念掌握全面，运用得当；选择题正确，解答题完整，答案正确率超过90%,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知识及概念掌握较全面，能够运用；选择题解答题基本正确、完整，答案正确率超过75%。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知识及概念掌握程度一般，不能正确运用；解答题存在错误，答案正确率超过60%。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没有掌握知识及概念，不会运用基本原理及方法；解答题错误且不完整，答案正确率低于60%。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能正确回答与章节内容有关的主观题，并通过从各种答案中选择最合适的答案。</w:t>
            </w:r>
          </w:p>
        </w:tc>
        <w:tc>
          <w:tcPr>
            <w:tcW w:w="143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知识及概念掌握全面，运用得当；选择题正确，解答题完整，答案正确率超过90%,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知识及概念掌握较全面，能够运用；选择题解答题基本正确、完整，答案正确率超过75%。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知识及概念掌握程度一般，不能正确运用；解答题存在错误，答案正确率超过60%。</w:t>
            </w: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  <w:r>
              <w:rPr>
                <w:rFonts w:hint="eastAsia" w:ascii="Helvetica" w:hAnsi="Helvetica" w:eastAsia="宋体" w:cs="Helvetica"/>
                <w:color w:val="000000"/>
                <w:sz w:val="21"/>
                <w:szCs w:val="21"/>
              </w:rPr>
              <w:t>没有掌握知识及概念，不会运用基本原理及方法；解答题错误且不完整，答案正确率低于60%。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28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701" w:type="dxa"/>
            <w:vAlign w:val="center"/>
          </w:tcPr>
          <w:p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</w:p>
        </w:tc>
        <w:tc>
          <w:tcPr>
            <w:tcW w:w="1438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</w:p>
        </w:tc>
        <w:tc>
          <w:tcPr>
            <w:tcW w:w="1439" w:type="dxa"/>
            <w:vAlign w:val="center"/>
          </w:tcPr>
          <w:p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Helvetica" w:hAnsi="Helvetica" w:eastAsia="宋体" w:cs="Helvetica"/>
                <w:color w:val="000000"/>
                <w:sz w:val="19"/>
                <w:szCs w:val="19"/>
              </w:rPr>
            </w:pPr>
          </w:p>
        </w:tc>
      </w:tr>
    </w:tbl>
    <w:p>
      <w:pPr>
        <w:pStyle w:val="16"/>
        <w:spacing w:before="326" w:beforeLines="100" w:line="360" w:lineRule="auto"/>
        <w:rPr>
          <w:rFonts w:ascii="黑体" w:hAnsi="宋体"/>
        </w:rPr>
      </w:pPr>
      <w:r>
        <w:rPr>
          <w:rFonts w:hint="eastAsia" w:ascii="黑体" w:hAnsi="宋体"/>
        </w:rPr>
        <w:t xml:space="preserve">六、其他需要说明的问题 </w:t>
      </w:r>
    </w:p>
    <w:tbl>
      <w:tblPr>
        <w:tblStyle w:val="8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c>
          <w:tcPr>
            <w:tcW w:w="8296" w:type="dxa"/>
          </w:tcPr>
          <w:p>
            <w:pPr>
              <w:pStyle w:val="14"/>
              <w:widowControl w:val="0"/>
              <w:jc w:val="left"/>
              <w:rPr>
                <w:rFonts w:ascii="仿宋" w:hAnsi="仿宋" w:eastAsia="仿宋" w:cs="仿宋"/>
              </w:rPr>
            </w:pPr>
          </w:p>
          <w:p>
            <w:pPr>
              <w:pStyle w:val="14"/>
              <w:widowControl w:val="0"/>
              <w:jc w:val="left"/>
              <w:rPr>
                <w:rFonts w:ascii="宋体" w:hAnsi="宋体"/>
                <w:bCs/>
              </w:rPr>
            </w:pPr>
          </w:p>
          <w:p>
            <w:pPr>
              <w:pStyle w:val="14"/>
              <w:widowControl w:val="0"/>
              <w:jc w:val="left"/>
              <w:rPr>
                <w:rFonts w:ascii="黑体"/>
              </w:rPr>
            </w:pPr>
          </w:p>
        </w:tc>
      </w:tr>
    </w:tbl>
    <w:p>
      <w:pPr>
        <w:pStyle w:val="16"/>
        <w:rPr>
          <w:rFonts w:ascii="黑体" w:hAnsi="宋体"/>
          <w:sz w:val="18"/>
          <w:szCs w:val="16"/>
        </w:rPr>
      </w:pPr>
    </w:p>
    <w:sectPr>
      <w:headerReference r:id="rId3" w:type="default"/>
      <w:pgSz w:w="11906" w:h="16838"/>
      <w:pgMar w:top="1440" w:right="1800" w:bottom="1440" w:left="1800" w:header="397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002020204"/>
    <w:charset w:val="00"/>
    <w:family w:val="auto"/>
    <w:pitch w:val="default"/>
    <w:sig w:usb0="00000000" w:usb1="00000000" w:usb2="00000000" w:usb3="00000000" w:csb0="00000093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方正小标宋简体" w:hAnsi="方正小标宋简体" w:eastAsia="方正小标宋简体"/>
      </w:rPr>
    </w:pPr>
    <w:r>
      <w:rPr>
        <w:rFonts w:ascii="方正小标宋简体" w:hAnsi="方正小标宋简体" w:eastAsia="方正小标宋简体"/>
        <w:color w:val="FF000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49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SJQU-QR-JW-055（A0）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ai3Tv1gAAAAkBAAAPAAAAAAAAAAEAIAAAACIAAABkcnMvZG93bnJldi54bWxQSwECFAAU&#10;AAAACACHTuJA81QayvMBAADXAwAADgAAAAAAAAABACAAAAAlAQAAZHJzL2Uyb0RvYy54bWxQSwUG&#10;AAAAAAYABgBZAQAAigUAAAAA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SJQU-QR-JW-055（A0）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0"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wNjU3ZGE0Y2E4OTdjZmZhNzllYmQwNzQ0YmUwYTIifQ=="/>
    <w:docVar w:name="KSO_WPS_MARK_KEY" w:val="74ec7c15-8fcd-48f2-b130-e53465c96951"/>
  </w:docVars>
  <w:rsids>
    <w:rsidRoot w:val="00000000"/>
    <w:rsid w:val="11257852"/>
    <w:rsid w:val="4A4914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autoRedefine/>
    <w:qFormat/>
    <w:uiPriority w:val="99"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 w:cs="宋体"/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3">
    <w:name w:val="表格标题DG"/>
    <w:basedOn w:val="1"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  <w:style w:type="paragraph" w:customStyle="1" w:styleId="14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paragraph" w:customStyle="1" w:styleId="16">
    <w:name w:val="一级标题DG"/>
    <w:basedOn w:val="1"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7">
    <w:name w:val="二级标题DG"/>
    <w:basedOn w:val="6"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8">
    <w:name w:val="正文DG"/>
    <w:basedOn w:val="1"/>
    <w:qFormat/>
    <w:uiPriority w:val="0"/>
    <w:pPr>
      <w:snapToGrid w:val="0"/>
      <w:spacing w:line="440" w:lineRule="exact"/>
      <w:ind w:firstLine="480" w:firstLineChars="200"/>
    </w:pPr>
    <w:rPr>
      <w:rFonts w:ascii="Times New Roman" w:hAnsi="Times New Roman" w:cs="Times New Roman"/>
      <w:color w:val="000000"/>
    </w:rPr>
  </w:style>
  <w:style w:type="character" w:customStyle="1" w:styleId="19">
    <w:name w:val="标题 1 字符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0">
    <w:name w:val="批注文字 字符"/>
    <w:basedOn w:val="9"/>
    <w:link w:val="3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1">
    <w:name w:val="editor-text-node"/>
    <w:basedOn w:val="9"/>
    <w:qFormat/>
    <w:uiPriority w:val="0"/>
  </w:style>
  <w:style w:type="character" w:styleId="22">
    <w:name w:val="Placeholder Text"/>
    <w:basedOn w:val="9"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5077</Words>
  <Characters>5331</Characters>
  <Paragraphs>535</Paragraphs>
  <TotalTime>7</TotalTime>
  <ScaleCrop>false</ScaleCrop>
  <LinksUpToDate>false</LinksUpToDate>
  <CharactersWithSpaces>5344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2023-11-21T02:39:00Z</dcterms:created>
  <dc:creator>juvg</dc:creator>
  <cp:lastModifiedBy>邱根成</cp:lastModifiedBy>
  <cp:lastPrinted>2023-11-21T00:52:00Z</cp:lastPrinted>
  <dcterms:modified xsi:type="dcterms:W3CDTF">2024-12-23T08:25:01Z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ac5ec21d752346768e316d8d5fba903d_23</vt:lpwstr>
  </property>
</Properties>
</file>