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outlineLvl w:val="0"/>
        <w:rPr>
          <w:b/>
          <w:sz w:val="28"/>
          <w:szCs w:val="30"/>
        </w:rPr>
      </w:pPr>
      <w:bookmarkStart w:id="0" w:name="_Toc6310717"/>
      <w:r>
        <w:rPr>
          <w:b/>
          <w:sz w:val="28"/>
          <w:szCs w:val="3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DxG1PGWAIAAJ8EAAAOAAAAZHJzL2Uyb0RvYy54bWytVMFuEzEQ&#10;vSPxD5bvdJOlaUvUTRVaBSFVtFJBnB2vN7uS12NsJ7vlA+APeuLCne/Kd/DsTdpSOPRADs6MZ/xm&#10;5s3Mnp71rWYb5XxDpuDjgxFnykgqG7Mq+KePi1cnnPkgTCk0GVXwW+X52ezli9POTlVONelSOQYQ&#10;46edLXgdgp1mmZe1aoU/IKsMjBW5VgSobpWVTnRAb3WWj0ZHWUeutI6k8h63F4OR7xDdcwCpqhqp&#10;LkiuW2XCgOqUFgEl+bqxns9StlWlZLiqKq8C0wVHpSGdCAJ5Gc9sdiqmKyds3chdCuI5KTypqRWN&#10;QdB7qAsRBFu75i+otpGOPFXhQFKbDYUkRlDFePSEm5taWJVqAdXe3pPu/x+s/LC5dqwpC55PODOi&#10;Rce3d9+3P35tf35juANBnfVT+N1YeIb+LfUYm/29x2Wsu69cG/9REYMd9N7e06v6wCQu86PXk3wC&#10;k4QtPxkdHSf+s4fX1vnwTlHLolBwh/YlVsXm0gdkAte9SwzmSTflotE6KW61PNeObQRavUi/mCSe&#10;/OGmDesKjkxGCdlQfD/4aRNxVJqaXbxY+lBilEK/7Hd8LKm8BR2OhonyVi4a5HwpfLgWDiOEMrFk&#10;4QpHpQkhaSdxVpP7+q/76I/OwspZh5EsuP+yFk5xpt8b9PzN+PAQsCEph5PjHIp7bFk+tph1e06g&#10;Yox1tjKJ0T/ovVg5aj9jF+cxKkzCSMQueNiL52FYFOyyVPN5csLUWhEuzY2VEToSZmi+DlQ1qUGR&#10;poEbUB8VzG1qwm7H4mI81pPXw3dl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LVkea1AAAAAgB&#10;AAAPAAAAAAAAAAEAIAAAACIAAABkcnMvZG93bnJldi54bWxQSwECFAAUAAAACACHTuJA8RtTxlgC&#10;AACfBAAADgAAAAAAAAABACAAAAAjAQAAZHJzL2Uyb0RvYy54bWxQSwUGAAAAAAYABgBZAQAA7QUA&#10;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【经贸日语】</w:t>
      </w:r>
      <w:bookmarkEnd w:id="0"/>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Japanese for Trade and Economics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340" w:lineRule="exact"/>
        <w:ind w:firstLine="394" w:firstLineChars="196"/>
        <w:rPr>
          <w:color w:val="000000"/>
          <w:sz w:val="20"/>
          <w:szCs w:val="20"/>
        </w:rPr>
      </w:pPr>
      <w:r>
        <w:rPr>
          <w:b/>
          <w:bCs/>
          <w:color w:val="000000"/>
          <w:sz w:val="20"/>
          <w:szCs w:val="20"/>
        </w:rPr>
        <w:t>课程代码：</w:t>
      </w:r>
      <w:r>
        <w:rPr>
          <w:color w:val="000000"/>
          <w:sz w:val="20"/>
          <w:szCs w:val="20"/>
        </w:rPr>
        <w:t>【0020020】</w:t>
      </w:r>
    </w:p>
    <w:p>
      <w:pPr>
        <w:snapToGrid w:val="0"/>
        <w:spacing w:line="340" w:lineRule="exact"/>
        <w:ind w:firstLine="394" w:firstLineChars="196"/>
        <w:rPr>
          <w:color w:val="000000"/>
          <w:szCs w:val="21"/>
        </w:rPr>
      </w:pPr>
      <w:r>
        <w:rPr>
          <w:b/>
          <w:bCs/>
          <w:color w:val="000000"/>
          <w:sz w:val="20"/>
          <w:szCs w:val="20"/>
        </w:rPr>
        <w:t>课程学分：</w:t>
      </w:r>
      <w:r>
        <w:rPr>
          <w:color w:val="000000"/>
          <w:sz w:val="20"/>
          <w:szCs w:val="20"/>
        </w:rPr>
        <w:t>【2】</w:t>
      </w:r>
    </w:p>
    <w:p>
      <w:pPr>
        <w:snapToGrid w:val="0"/>
        <w:spacing w:line="340" w:lineRule="exact"/>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商务日语专业</w:t>
      </w:r>
      <w:r>
        <w:rPr>
          <w:color w:val="000000"/>
          <w:sz w:val="20"/>
          <w:szCs w:val="20"/>
        </w:rPr>
        <w:t>】</w:t>
      </w:r>
    </w:p>
    <w:p>
      <w:pPr>
        <w:snapToGrid w:val="0"/>
        <w:spacing w:line="340" w:lineRule="exact"/>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340" w:lineRule="exact"/>
        <w:ind w:firstLine="394" w:firstLineChars="196"/>
        <w:rPr>
          <w:b/>
          <w:bCs/>
          <w:color w:val="000000"/>
          <w:szCs w:val="21"/>
        </w:rPr>
      </w:pPr>
      <w:r>
        <w:rPr>
          <w:b/>
          <w:bCs/>
          <w:color w:val="000000"/>
          <w:sz w:val="20"/>
          <w:szCs w:val="20"/>
        </w:rPr>
        <w:t>开课院系：</w:t>
      </w:r>
      <w:r>
        <w:rPr>
          <w:rFonts w:hint="eastAsia"/>
          <w:bCs/>
          <w:color w:val="000000"/>
          <w:sz w:val="20"/>
          <w:szCs w:val="20"/>
        </w:rPr>
        <w:t>职业技术学院商务日</w:t>
      </w:r>
      <w:r>
        <w:rPr>
          <w:bCs/>
          <w:color w:val="000000"/>
          <w:sz w:val="20"/>
          <w:szCs w:val="20"/>
        </w:rPr>
        <w:t>语系</w:t>
      </w:r>
    </w:p>
    <w:p>
      <w:pPr>
        <w:snapToGrid w:val="0"/>
        <w:spacing w:line="340" w:lineRule="exact"/>
        <w:ind w:left="2403" w:leftChars="188" w:hanging="2008" w:hangingChars="1000"/>
        <w:rPr>
          <w:b/>
          <w:bCs/>
          <w:color w:val="000000"/>
          <w:sz w:val="20"/>
          <w:szCs w:val="20"/>
        </w:rPr>
      </w:pPr>
      <w:r>
        <w:rPr>
          <w:b/>
          <w:bCs/>
          <w:color w:val="000000"/>
          <w:sz w:val="20"/>
          <w:szCs w:val="20"/>
        </w:rPr>
        <w:t>使用教材：</w:t>
      </w:r>
    </w:p>
    <w:p>
      <w:pPr>
        <w:snapToGrid w:val="0"/>
        <w:spacing w:line="288" w:lineRule="auto"/>
        <w:ind w:firstLine="792" w:firstLineChars="396"/>
        <w:rPr>
          <w:rFonts w:hint="eastAsia"/>
          <w:color w:val="000000"/>
          <w:sz w:val="20"/>
          <w:szCs w:val="20"/>
        </w:rPr>
      </w:pP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《经贸日语教程》，张麓营</w:t>
      </w:r>
      <w:r>
        <w:rPr>
          <w:color w:val="000000"/>
          <w:sz w:val="20"/>
          <w:szCs w:val="20"/>
        </w:rPr>
        <w:t>主编</w:t>
      </w:r>
      <w:r>
        <w:rPr>
          <w:rFonts w:hint="eastAsia"/>
          <w:color w:val="000000"/>
          <w:sz w:val="20"/>
          <w:szCs w:val="20"/>
        </w:rPr>
        <w:t>，大连理工大学出版社</w:t>
      </w:r>
      <w:r>
        <w:rPr>
          <w:color w:val="000000"/>
          <w:sz w:val="20"/>
          <w:szCs w:val="20"/>
        </w:rPr>
        <w:t>】</w:t>
      </w:r>
    </w:p>
    <w:p>
      <w:pPr>
        <w:snapToGrid w:val="0"/>
        <w:spacing w:line="288" w:lineRule="auto"/>
        <w:ind w:left="2295" w:leftChars="188" w:hanging="1900" w:hangingChars="950"/>
        <w:rPr>
          <w:color w:val="000000"/>
          <w:sz w:val="20"/>
          <w:szCs w:val="20"/>
        </w:rPr>
      </w:pPr>
      <w:r>
        <w:rPr>
          <w:color w:val="000000"/>
          <w:sz w:val="20"/>
          <w:szCs w:val="20"/>
        </w:rPr>
        <w:t>参考</w:t>
      </w:r>
      <w:r>
        <w:rPr>
          <w:rFonts w:hint="eastAsia"/>
          <w:color w:val="000000"/>
          <w:sz w:val="20"/>
          <w:szCs w:val="20"/>
        </w:rPr>
        <w:t>书目</w:t>
      </w:r>
      <w:r>
        <w:rPr>
          <w:color w:val="000000"/>
          <w:sz w:val="20"/>
          <w:szCs w:val="20"/>
        </w:rPr>
        <w:t>【1.</w:t>
      </w:r>
      <w:r>
        <w:rPr>
          <w:rFonts w:hint="eastAsia"/>
          <w:color w:val="000000"/>
          <w:sz w:val="20"/>
          <w:szCs w:val="20"/>
        </w:rPr>
        <w:t>《国际贸易实务案例</w:t>
      </w:r>
      <w:r>
        <w:rPr>
          <w:color w:val="000000"/>
          <w:sz w:val="20"/>
          <w:szCs w:val="20"/>
        </w:rPr>
        <w:t xml:space="preserve">  </w:t>
      </w:r>
      <w:r>
        <w:rPr>
          <w:rFonts w:hint="eastAsia"/>
          <w:color w:val="000000"/>
          <w:sz w:val="20"/>
          <w:szCs w:val="20"/>
        </w:rPr>
        <w:t>大纲习题》东北财经大学出版社，徐景霖</w:t>
      </w:r>
    </w:p>
    <w:p>
      <w:pPr>
        <w:snapToGrid w:val="0"/>
        <w:spacing w:line="288" w:lineRule="auto"/>
        <w:ind w:left="1252" w:leftChars="596" w:firstLine="100" w:firstLineChars="50"/>
        <w:rPr>
          <w:rFonts w:ascii="MS Mincho" w:eastAsia="MS Mincho"/>
          <w:color w:val="000000"/>
          <w:sz w:val="20"/>
          <w:szCs w:val="20"/>
        </w:rPr>
      </w:pPr>
      <w:r>
        <w:rPr>
          <w:rFonts w:ascii="MS Mincho" w:hAnsi="MS Mincho" w:eastAsia="MS Mincho"/>
          <w:color w:val="000000"/>
          <w:sz w:val="20"/>
          <w:szCs w:val="20"/>
        </w:rPr>
        <w:t>2.</w:t>
      </w:r>
      <w:r>
        <w:rPr>
          <w:rFonts w:hint="eastAsia" w:ascii="MS Mincho" w:hAnsi="MS Mincho" w:eastAsia="MS Mincho"/>
          <w:color w:val="000000"/>
          <w:sz w:val="20"/>
          <w:szCs w:val="20"/>
        </w:rPr>
        <w:t>『国際貿易論』学文社</w:t>
      </w:r>
      <w:r>
        <w:rPr>
          <w:rFonts w:hint="eastAsia" w:ascii="MS Mincho" w:hAnsi="MS Mincho"/>
          <w:color w:val="000000"/>
          <w:sz w:val="20"/>
          <w:szCs w:val="20"/>
        </w:rPr>
        <w:t>，</w:t>
      </w:r>
      <w:r>
        <w:rPr>
          <w:rFonts w:hint="eastAsia" w:ascii="MS Mincho" w:hAnsi="MS Mincho" w:eastAsia="MS Mincho"/>
          <w:color w:val="000000"/>
          <w:sz w:val="20"/>
          <w:szCs w:val="20"/>
        </w:rPr>
        <w:t>山田晃久</w:t>
      </w:r>
    </w:p>
    <w:p>
      <w:pPr>
        <w:snapToGrid w:val="0"/>
        <w:spacing w:line="288" w:lineRule="auto"/>
        <w:ind w:left="1252" w:leftChars="596" w:firstLine="100" w:firstLineChars="50"/>
        <w:rPr>
          <w:rFonts w:ascii="MS Mincho" w:hAnsi="MS Mincho" w:eastAsia="MS Mincho"/>
          <w:color w:val="000000"/>
          <w:sz w:val="20"/>
          <w:szCs w:val="20"/>
          <w:lang w:eastAsia="ja-JP"/>
        </w:rPr>
      </w:pPr>
      <w:r>
        <w:rPr>
          <w:rFonts w:ascii="MS Mincho" w:hAnsi="MS Mincho" w:eastAsia="MS Mincho"/>
          <w:color w:val="000000"/>
          <w:sz w:val="20"/>
          <w:szCs w:val="20"/>
          <w:lang w:eastAsia="ja-JP"/>
        </w:rPr>
        <w:t>3.</w:t>
      </w:r>
      <w:r>
        <w:rPr>
          <w:rFonts w:hint="eastAsia" w:ascii="MS Mincho" w:hAnsi="MS Mincho" w:eastAsia="MS Mincho"/>
          <w:color w:val="000000"/>
          <w:sz w:val="20"/>
          <w:szCs w:val="20"/>
          <w:lang w:eastAsia="ja-JP"/>
        </w:rPr>
        <w:t>『貿易実務の基本が身につく本』かんき出版</w:t>
      </w:r>
      <w:r>
        <w:rPr>
          <w:rFonts w:hint="eastAsia" w:ascii="MS Mincho" w:hAnsi="MS Mincho"/>
          <w:color w:val="000000"/>
          <w:sz w:val="20"/>
          <w:szCs w:val="20"/>
          <w:lang w:eastAsia="ja-JP"/>
        </w:rPr>
        <w:t>，</w:t>
      </w:r>
      <w:r>
        <w:rPr>
          <w:rFonts w:hint="eastAsia" w:ascii="MS Mincho" w:hAnsi="MS Mincho" w:eastAsia="MS Mincho"/>
          <w:color w:val="000000"/>
          <w:sz w:val="20"/>
          <w:szCs w:val="20"/>
          <w:lang w:eastAsia="ja-JP"/>
        </w:rPr>
        <w:t>井上洋</w:t>
      </w:r>
    </w:p>
    <w:p>
      <w:pPr>
        <w:snapToGrid w:val="0"/>
        <w:spacing w:line="288" w:lineRule="auto"/>
        <w:ind w:left="1260" w:leftChars="600" w:firstLine="100" w:firstLineChars="50"/>
        <w:rPr>
          <w:rFonts w:asciiTheme="minorEastAsia" w:hAnsiTheme="minorEastAsia"/>
          <w:sz w:val="20"/>
          <w:szCs w:val="20"/>
        </w:rPr>
      </w:pPr>
      <w:r>
        <w:rPr>
          <w:rFonts w:ascii="MS Mincho" w:hAnsi="MS Mincho" w:eastAsia="MS Mincho"/>
          <w:color w:val="000000"/>
          <w:sz w:val="20"/>
          <w:szCs w:val="20"/>
        </w:rPr>
        <w:t>4.</w:t>
      </w:r>
      <w:r>
        <w:rPr>
          <w:rFonts w:hint="eastAsia" w:ascii="MS Mincho" w:hAnsi="MS Mincho" w:eastAsia="MS Mincho"/>
          <w:color w:val="000000"/>
          <w:sz w:val="20"/>
          <w:szCs w:val="20"/>
          <w:lang w:eastAsia="ja-JP"/>
        </w:rPr>
        <w:t>『</w:t>
      </w:r>
      <w:r>
        <w:rPr>
          <w:rFonts w:hint="eastAsia" w:ascii="MS Mincho" w:hAnsi="MS Mincho" w:eastAsia="MS Mincho"/>
          <w:color w:val="000000"/>
          <w:sz w:val="20"/>
          <w:szCs w:val="20"/>
        </w:rPr>
        <w:t>貿易政策大系</w:t>
      </w:r>
      <w:r>
        <w:rPr>
          <w:rFonts w:hint="eastAsia" w:ascii="MS Mincho" w:hAnsi="MS Mincho" w:eastAsia="MS Mincho"/>
          <w:color w:val="000000"/>
          <w:sz w:val="20"/>
          <w:szCs w:val="20"/>
          <w:lang w:eastAsia="ja-JP"/>
        </w:rPr>
        <w:t>』</w:t>
      </w:r>
      <w:r>
        <w:rPr>
          <w:rFonts w:hint="eastAsia" w:ascii="MS Mincho" w:hAnsi="MS Mincho" w:eastAsia="MS Mincho"/>
          <w:color w:val="000000"/>
          <w:sz w:val="20"/>
          <w:szCs w:val="20"/>
        </w:rPr>
        <w:t>広文社</w:t>
      </w:r>
      <w:r>
        <w:rPr>
          <w:rFonts w:hint="eastAsia" w:ascii="MS Mincho" w:hAnsi="MS Mincho"/>
          <w:color w:val="000000"/>
          <w:sz w:val="20"/>
          <w:szCs w:val="20"/>
        </w:rPr>
        <w:t>，</w:t>
      </w:r>
      <w:r>
        <w:rPr>
          <w:rFonts w:hint="eastAsia" w:ascii="MS Mincho" w:hAnsi="MS Mincho" w:eastAsia="MS Mincho"/>
          <w:color w:val="000000"/>
          <w:sz w:val="20"/>
          <w:szCs w:val="20"/>
        </w:rPr>
        <w:t>油本豊吉</w:t>
      </w:r>
      <w:r>
        <w:rPr>
          <w:color w:val="000000"/>
          <w:sz w:val="20"/>
          <w:szCs w:val="20"/>
        </w:rPr>
        <w:t>】</w:t>
      </w:r>
    </w:p>
    <w:p>
      <w:pPr>
        <w:snapToGrid w:val="0"/>
        <w:ind w:left="2403" w:leftChars="188" w:hanging="2008" w:hangingChars="1000"/>
        <w:jc w:val="left"/>
        <w:rPr>
          <w:rFonts w:hint="eastAsia"/>
          <w:b/>
          <w:bCs/>
          <w:color w:val="000000"/>
          <w:sz w:val="20"/>
          <w:szCs w:val="20"/>
        </w:rPr>
      </w:pPr>
    </w:p>
    <w:p>
      <w:pPr>
        <w:snapToGrid w:val="0"/>
        <w:ind w:left="2403" w:leftChars="188" w:hanging="2008" w:hangingChars="1000"/>
        <w:jc w:val="left"/>
        <w:rPr>
          <w:b/>
          <w:bCs/>
          <w:color w:val="000000"/>
          <w:sz w:val="20"/>
          <w:szCs w:val="20"/>
        </w:rPr>
      </w:pPr>
      <w:r>
        <w:rPr>
          <w:rFonts w:hint="eastAsia"/>
          <w:b/>
          <w:bCs/>
          <w:color w:val="000000"/>
          <w:sz w:val="20"/>
          <w:szCs w:val="20"/>
        </w:rPr>
        <w:t>课程网站网址：</w:t>
      </w:r>
      <w:r>
        <w:fldChar w:fldCharType="begin"/>
      </w:r>
      <w:r>
        <w:instrText xml:space="preserve"> HYPERLINK "http://kczx.gench.edu.cn/G2S/Template/View.aspx?action=view&amp;courseType=0&amp;courseId=26906" </w:instrText>
      </w:r>
      <w:r>
        <w:fldChar w:fldCharType="separate"/>
      </w:r>
      <w:r>
        <w:rPr>
          <w:rStyle w:val="13"/>
        </w:rPr>
        <w:t>http://kczx.gench.edu.cn/G2S/Template/View.aspx?action=view&amp;courseType=0&amp;courseId=26906</w:t>
      </w:r>
      <w:r>
        <w:rPr>
          <w:rStyle w:val="13"/>
        </w:rPr>
        <w:fldChar w:fldCharType="end"/>
      </w:r>
    </w:p>
    <w:p>
      <w:pPr>
        <w:adjustRightInd w:val="0"/>
        <w:snapToGrid w:val="0"/>
        <w:spacing w:line="288" w:lineRule="auto"/>
        <w:ind w:firstLine="394" w:firstLineChars="196"/>
        <w:rPr>
          <w:rFonts w:eastAsia="MS Mincho"/>
          <w:b/>
          <w:bCs/>
          <w:color w:val="000000"/>
          <w:sz w:val="20"/>
          <w:szCs w:val="20"/>
          <w:lang w:eastAsia="ja-JP"/>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bCs/>
          <w:color w:val="000000"/>
          <w:sz w:val="20"/>
          <w:szCs w:val="20"/>
        </w:rPr>
        <w:t>国际贸易实务</w:t>
      </w:r>
      <w:r>
        <w:rPr>
          <w:rFonts w:hint="eastAsia"/>
          <w:color w:val="000000"/>
          <w:sz w:val="20"/>
          <w:szCs w:val="20"/>
        </w:rPr>
        <w:t>】</w:t>
      </w:r>
    </w:p>
    <w:p>
      <w:pPr>
        <w:adjustRightInd w:val="0"/>
        <w:snapToGrid w:val="0"/>
        <w:spacing w:before="156" w:beforeLines="50" w:after="156" w:afterLines="50" w:line="288" w:lineRule="auto"/>
        <w:ind w:firstLine="348" w:firstLineChars="145"/>
        <w:rPr>
          <w:rFonts w:hint="eastAsia" w:ascii="黑体" w:hAnsi="宋体" w:eastAsia="黑体"/>
          <w:sz w:val="24"/>
        </w:rPr>
      </w:pP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400" w:firstLineChars="200"/>
        <w:jc w:val="left"/>
        <w:rPr>
          <w:rFonts w:ascii="宋体" w:cs="宋体"/>
          <w:color w:val="000000"/>
          <w:kern w:val="0"/>
          <w:sz w:val="20"/>
          <w:szCs w:val="20"/>
        </w:rPr>
      </w:pPr>
      <w:r>
        <w:rPr>
          <w:rFonts w:hint="eastAsia" w:ascii="宋体" w:hAnsi="宋体" w:cs="宋体"/>
          <w:color w:val="000000"/>
          <w:kern w:val="0"/>
          <w:sz w:val="20"/>
          <w:szCs w:val="20"/>
        </w:rPr>
        <w:t>本课程属于商务日语专业学生的专业课程，是一门在先修完国际贸易的相关理论知识的基础上培养学生在国际贸易基础及理论方面具有一定分析能力的课程。旨在培养学生用日语去理解国际贸易的基本知识，以尽快适应毕业后日资国际贸易企业的基本流程及相关日语。</w:t>
      </w: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Cs w:val="21"/>
        </w:rPr>
      </w:pPr>
      <w:r>
        <w:rPr>
          <w:rFonts w:hint="eastAsia"/>
          <w:color w:val="000000"/>
          <w:sz w:val="20"/>
          <w:szCs w:val="20"/>
        </w:rPr>
        <w:t>本课程建议商务日语专业在第五学期开设。</w:t>
      </w: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0"/>
        <w:tblW w:w="8472" w:type="dxa"/>
        <w:tblInd w:w="0" w:type="dxa"/>
        <w:tblLayout w:type="fixed"/>
        <w:tblCellMar>
          <w:top w:w="0" w:type="dxa"/>
          <w:left w:w="108" w:type="dxa"/>
          <w:bottom w:w="0" w:type="dxa"/>
          <w:right w:w="108" w:type="dxa"/>
        </w:tblCellMar>
      </w:tblPr>
      <w:tblGrid>
        <w:gridCol w:w="675"/>
        <w:gridCol w:w="851"/>
        <w:gridCol w:w="6379"/>
        <w:gridCol w:w="567"/>
      </w:tblGrid>
      <w:tr>
        <w:tblPrEx>
          <w:tblCellMar>
            <w:top w:w="0" w:type="dxa"/>
            <w:left w:w="108" w:type="dxa"/>
            <w:bottom w:w="0" w:type="dxa"/>
            <w:right w:w="108" w:type="dxa"/>
          </w:tblCellMar>
        </w:tblPrEx>
        <w:trPr>
          <w:trHeight w:val="536"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L011</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LO111</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倾听他人意见、尊重他人观点、分析他人需求。</w:t>
            </w:r>
          </w:p>
        </w:tc>
        <w:tc>
          <w:tcPr>
            <w:tcW w:w="567"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66"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nil"/>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LO112</w:t>
            </w:r>
          </w:p>
        </w:tc>
        <w:tc>
          <w:tcPr>
            <w:tcW w:w="637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应用书面或口头形式，阐释自己的观点，有效沟通。</w:t>
            </w:r>
          </w:p>
        </w:tc>
        <w:tc>
          <w:tcPr>
            <w:tcW w:w="567"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3"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L021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能根据需要确定学习目标，并设计学习计划。</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60" w:hRule="atLeast"/>
        </w:trPr>
        <w:tc>
          <w:tcPr>
            <w:tcW w:w="6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LO212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能搜集、获取达到目标所需要的学习资源，实施学习计划、反思学习计划、持续改进，达到学习目标。</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23" w:hRule="atLeast"/>
        </w:trPr>
        <w:tc>
          <w:tcPr>
            <w:tcW w:w="675"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能听懂正常语速下的日语对话，根据语调和重音理解说话者的意图，能听懂语段内容，并提取信息和观点。</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w:t>
            </w:r>
          </w:p>
        </w:tc>
      </w:tr>
      <w:tr>
        <w:tblPrEx>
          <w:tblCellMar>
            <w:top w:w="0" w:type="dxa"/>
            <w:left w:w="108" w:type="dxa"/>
            <w:bottom w:w="0" w:type="dxa"/>
            <w:right w:w="108" w:type="dxa"/>
          </w:tblCellMar>
        </w:tblPrEx>
        <w:trPr>
          <w:trHeight w:val="185" w:hRule="atLeast"/>
        </w:trPr>
        <w:tc>
          <w:tcPr>
            <w:tcW w:w="675" w:type="dxa"/>
            <w:vMerge w:val="continue"/>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掌握正确的发音，能够使用日语进行交流与表达。</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85" w:hRule="atLeast"/>
        </w:trPr>
        <w:tc>
          <w:tcPr>
            <w:tcW w:w="675"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掌握日语阅读技能，包括细读、泛读、评读等能力，提高分析归纳、推理检验等逻辑思维能力。</w:t>
            </w:r>
          </w:p>
        </w:tc>
        <w:tc>
          <w:tcPr>
            <w:tcW w:w="567" w:type="dxa"/>
            <w:tcBorders>
              <w:top w:val="nil"/>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185" w:hRule="atLeast"/>
        </w:trPr>
        <w:tc>
          <w:tcPr>
            <w:tcW w:w="675"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L0314</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了解日语写作的基础知识，摆脱汉语的思维方式，用地道的日语进行表情达意，具备必要的应用文写作技能。</w:t>
            </w:r>
          </w:p>
        </w:tc>
        <w:tc>
          <w:tcPr>
            <w:tcW w:w="567" w:type="dxa"/>
            <w:tcBorders>
              <w:top w:val="nil"/>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185" w:hRule="atLeast"/>
        </w:trPr>
        <w:tc>
          <w:tcPr>
            <w:tcW w:w="675" w:type="dxa"/>
            <w:tcBorders>
              <w:top w:val="nil"/>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L0315</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了解并掌握翻译技巧，了解不同文体的语言特点和翻译方法，能使用中日两种语言进行各种翻译活动。</w:t>
            </w:r>
          </w:p>
        </w:tc>
        <w:tc>
          <w:tcPr>
            <w:tcW w:w="567" w:type="dxa"/>
            <w:tcBorders>
              <w:top w:val="nil"/>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161" w:hRule="atLeast"/>
        </w:trPr>
        <w:tc>
          <w:tcPr>
            <w:tcW w:w="675"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了解语言学的一般理论，以及语言学研究的发展与现状。</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透彻分析日语语素、词汇及语法结构，能对语法现象进行分析归纳与总结。</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了解日本文学史上不同时期的重要作家及其代表作品。</w:t>
            </w:r>
          </w:p>
        </w:tc>
        <w:tc>
          <w:tcPr>
            <w:tcW w:w="567" w:type="dxa"/>
            <w:tcBorders>
              <w:top w:val="nil"/>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251" w:hRule="atLeast"/>
        </w:trPr>
        <w:tc>
          <w:tcPr>
            <w:tcW w:w="675" w:type="dxa"/>
            <w:vMerge w:val="continue"/>
            <w:tcBorders>
              <w:left w:val="single" w:color="auto" w:sz="4" w:space="0"/>
              <w:bottom w:val="nil"/>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L0324</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具备阅读、欣赏、理解日本文学原著的能力，掌握文学批评的基本知识和方法。</w:t>
            </w:r>
          </w:p>
        </w:tc>
        <w:tc>
          <w:tcPr>
            <w:tcW w:w="567" w:type="dxa"/>
            <w:tcBorders>
              <w:top w:val="nil"/>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213" w:hRule="atLeast"/>
        </w:trPr>
        <w:tc>
          <w:tcPr>
            <w:tcW w:w="67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L033</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了解日本文化、社会和风土人情，认识中日文化差异。</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75" w:hRule="atLeast"/>
        </w:trPr>
        <w:tc>
          <w:tcPr>
            <w:tcW w:w="675"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LO332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具有跨文化交际能力，掌握有效的认知、调控、交际策略和跨文化理解能力。</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9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L034</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掌握商务相关的基本理论知识，国家对外贸易方针、政策以及具备国际商务实务操作的技能和素质。</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2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LO342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能够使用日语语言处理商务活动中的常规业务，能用中日文双语撰写外贸函电，填写国际贸易的单证，起草外贸合同。</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6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具备广告客户、业务开发和维护能力。</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3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具有广告消费行为、营销、广告客户心理等方面的基础知识。</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9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L0353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具备良好的品牌开发、传播的能力。</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97"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L041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遵纪守法：遵守校纪校规，具备法律意识。</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59"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诚实守信：为人诚实，信守承诺，尽职尽责。</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爱岗敬业：了解与专业相关的法律法规，在学习和社会实践中遵守职业规范，具备职业道德操守。</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14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LO414</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心理健康，能承受学习和生活中的压力。</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4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L051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在集体活动中能主动担任自己的角色，与其他成员密切合作，共同完成任务。</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7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有质疑精神，能有逻辑的分析与批判。</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5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能用创新的方法或者多种方法解决复杂问题或真实问题。</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212"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LO514</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了解行业前沿知识技术。</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B050"/>
                <w:szCs w:val="21"/>
              </w:rPr>
            </w:pPr>
          </w:p>
        </w:tc>
      </w:tr>
      <w:tr>
        <w:tblPrEx>
          <w:tblCellMar>
            <w:top w:w="0" w:type="dxa"/>
            <w:left w:w="108" w:type="dxa"/>
            <w:bottom w:w="0" w:type="dxa"/>
            <w:right w:w="108" w:type="dxa"/>
          </w:tblCellMar>
        </w:tblPrEx>
        <w:trPr>
          <w:trHeight w:val="302"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L061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能够根据需要进行专业文献检索。</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381"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能够使用适合的工具来搜集信息，并对信息加以分析、鉴别、判断与整合。</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286"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LO613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熟练使用计算机，掌握常用办公软件。</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19"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L071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爱党爱国：了解祖国的优秀传统文化和革命历史，构建爱党爱国的理想信念。</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31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助人为乐：富于爱心，懂得感恩，具备助人为乐的品质。</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63"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奉献社会：具有服务企业、服务社会的意愿和行为能力。</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25"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LO714</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爱护环境：具有爱护环境的意识和与自然和谐相处的环保理念。</w:t>
            </w:r>
          </w:p>
        </w:tc>
        <w:tc>
          <w:tcPr>
            <w:tcW w:w="567" w:type="dxa"/>
            <w:tcBorders>
              <w:top w:val="nil"/>
              <w:left w:val="nil"/>
              <w:bottom w:val="single" w:color="auto" w:sz="4" w:space="0"/>
              <w:right w:val="single" w:color="auto" w:sz="4" w:space="0"/>
            </w:tcBorders>
            <w:vAlign w:val="center"/>
          </w:tcPr>
          <w:p>
            <w:pPr>
              <w:jc w:val="center"/>
              <w:rPr>
                <w:rFonts w:ascii="宋体" w:hAnsi="宋体" w:cs="宋体"/>
                <w:color w:val="FF0000"/>
                <w:szCs w:val="21"/>
              </w:rPr>
            </w:pPr>
          </w:p>
        </w:tc>
      </w:tr>
      <w:tr>
        <w:tblPrEx>
          <w:tblCellMar>
            <w:top w:w="0" w:type="dxa"/>
            <w:left w:w="108" w:type="dxa"/>
            <w:bottom w:w="0" w:type="dxa"/>
            <w:right w:w="108" w:type="dxa"/>
          </w:tblCellMar>
        </w:tblPrEx>
        <w:trPr>
          <w:trHeight w:val="201" w:hRule="atLeast"/>
        </w:trPr>
        <w:tc>
          <w:tcPr>
            <w:tcW w:w="6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L0811</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具备外语表达沟通能力，达到本专业的要求。</w:t>
            </w:r>
          </w:p>
        </w:tc>
        <w:tc>
          <w:tcPr>
            <w:tcW w:w="567" w:type="dxa"/>
            <w:tcBorders>
              <w:top w:val="nil"/>
              <w:left w:val="nil"/>
              <w:bottom w:val="single" w:color="auto" w:sz="4" w:space="0"/>
              <w:right w:val="single" w:color="auto" w:sz="4" w:space="0"/>
            </w:tcBorders>
            <w:vAlign w:val="center"/>
          </w:tcPr>
          <w:p>
            <w:pPr>
              <w:rPr>
                <w:rFonts w:ascii="宋体" w:hAnsi="宋体" w:cs="宋体"/>
                <w:color w:val="000000"/>
                <w:szCs w:val="21"/>
              </w:rPr>
            </w:pPr>
            <w:r>
              <w:rPr>
                <w:rFonts w:hint="eastAsia"/>
                <w:color w:val="000000"/>
                <w:szCs w:val="21"/>
              </w:rPr>
              <w:t>●</w:t>
            </w:r>
          </w:p>
        </w:tc>
      </w:tr>
      <w:tr>
        <w:tblPrEx>
          <w:tblCellMar>
            <w:top w:w="0" w:type="dxa"/>
            <w:left w:w="108" w:type="dxa"/>
            <w:bottom w:w="0" w:type="dxa"/>
            <w:right w:w="108" w:type="dxa"/>
          </w:tblCellMar>
        </w:tblPrEx>
        <w:trPr>
          <w:trHeight w:val="304"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L0812</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理解其他国家历史文化，有跨文化交流能力。</w:t>
            </w:r>
          </w:p>
        </w:tc>
        <w:tc>
          <w:tcPr>
            <w:tcW w:w="567"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r>
        <w:tblPrEx>
          <w:tblCellMar>
            <w:top w:w="0" w:type="dxa"/>
            <w:left w:w="108" w:type="dxa"/>
            <w:bottom w:w="0" w:type="dxa"/>
            <w:right w:w="108" w:type="dxa"/>
          </w:tblCellMar>
        </w:tblPrEx>
        <w:trPr>
          <w:trHeight w:val="267" w:hRule="atLeast"/>
        </w:trPr>
        <w:tc>
          <w:tcPr>
            <w:tcW w:w="67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Cs w:val="21"/>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L0813</w:t>
            </w:r>
          </w:p>
        </w:tc>
        <w:tc>
          <w:tcPr>
            <w:tcW w:w="637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有国际竞争与合作意识。</w:t>
            </w:r>
          </w:p>
        </w:tc>
        <w:tc>
          <w:tcPr>
            <w:tcW w:w="567" w:type="dxa"/>
            <w:tcBorders>
              <w:top w:val="nil"/>
              <w:left w:val="nil"/>
              <w:bottom w:val="single" w:color="auto" w:sz="4" w:space="0"/>
              <w:right w:val="single" w:color="auto" w:sz="4" w:space="0"/>
            </w:tcBorders>
            <w:vAlign w:val="center"/>
          </w:tcPr>
          <w:p>
            <w:pPr>
              <w:rPr>
                <w:rFonts w:ascii="宋体" w:hAnsi="宋体" w:cs="宋体"/>
                <w:color w:val="000000"/>
                <w:szCs w:val="21"/>
              </w:rPr>
            </w:pPr>
          </w:p>
        </w:tc>
      </w:tr>
    </w:tbl>
    <w:p>
      <w:pPr>
        <w:ind w:firstLine="420" w:firstLineChars="200"/>
      </w:pPr>
      <w:bookmarkStart w:id="1" w:name="_GoBack"/>
      <w:bookmarkEnd w:id="1"/>
      <w:r>
        <w:rPr>
          <w:rFonts w:hint="eastAsia"/>
        </w:rPr>
        <w:t>备注：LO=</w:t>
      </w:r>
      <w:r>
        <w:t>learning outcomes</w:t>
      </w:r>
      <w:r>
        <w:rPr>
          <w:rFonts w:hint="eastAsia"/>
        </w:rPr>
        <w:t>（学习成果）</w:t>
      </w:r>
    </w:p>
    <w:p>
      <w:pPr>
        <w:rPr>
          <w:rFonts w:hint="eastAsia"/>
        </w:rPr>
      </w:pP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10"/>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33"/>
        <w:gridCol w:w="2551"/>
        <w:gridCol w:w="216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33"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5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6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8" w:hRule="atLeast"/>
        </w:trPr>
        <w:tc>
          <w:tcPr>
            <w:tcW w:w="535" w:type="dxa"/>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33" w:type="dxa"/>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551" w:type="dxa"/>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通过商务日语材料，分析市场需求。</w:t>
            </w:r>
          </w:p>
        </w:tc>
        <w:tc>
          <w:tcPr>
            <w:tcW w:w="2160" w:type="dxa"/>
            <w:shd w:val="clear" w:color="auto" w:fill="auto"/>
          </w:tcPr>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1.结合知识点，分析相关商务日语的案例。</w:t>
            </w:r>
          </w:p>
          <w:p>
            <w:pPr>
              <w:snapToGrid w:val="0"/>
              <w:spacing w:line="288" w:lineRule="auto"/>
              <w:jc w:val="left"/>
              <w:rPr>
                <w:rFonts w:ascii="仿宋" w:hAnsi="仿宋" w:eastAsia="仿宋" w:cs="宋体"/>
                <w:color w:val="000000"/>
                <w:kern w:val="0"/>
                <w:sz w:val="24"/>
              </w:rPr>
            </w:pPr>
            <w:r>
              <w:rPr>
                <w:rFonts w:hint="eastAsia" w:ascii="仿宋" w:hAnsi="仿宋" w:eastAsia="仿宋" w:cs="宋体"/>
                <w:color w:val="000000"/>
                <w:kern w:val="0"/>
                <w:sz w:val="24"/>
              </w:rPr>
              <w:t>2.通过提问，促使学生们形成自己的观点。从而更好地认清市场需求。</w:t>
            </w:r>
          </w:p>
          <w:p>
            <w:pPr>
              <w:snapToGrid w:val="0"/>
              <w:spacing w:line="288" w:lineRule="auto"/>
              <w:jc w:val="left"/>
              <w:rPr>
                <w:rFonts w:ascii="黑体" w:hAnsi="宋体" w:eastAsia="黑体"/>
                <w:sz w:val="24"/>
              </w:rPr>
            </w:pP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宋体"/>
                <w:color w:val="000000"/>
                <w:kern w:val="0"/>
                <w:sz w:val="24"/>
              </w:rPr>
              <w:t>课堂</w:t>
            </w:r>
            <w:r>
              <w:rPr>
                <w:rFonts w:ascii="仿宋" w:hAnsi="仿宋" w:eastAsia="仿宋" w:cs="宋体"/>
                <w:color w:val="000000"/>
                <w:kern w:val="0"/>
                <w:sz w:val="24"/>
                <w:szCs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535" w:type="dxa"/>
            <w:vMerge w:val="restart"/>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33" w:type="dxa"/>
            <w:vMerge w:val="restart"/>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L0212</w:t>
            </w:r>
          </w:p>
        </w:tc>
        <w:tc>
          <w:tcPr>
            <w:tcW w:w="2551" w:type="dxa"/>
            <w:vMerge w:val="restart"/>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szCs w:val="24"/>
              </w:rPr>
              <w:t>能搜集、获取达到目标所需要的学习资源，实施学习计划、反思学习计划、持续改进，达到学习目标。</w:t>
            </w:r>
          </w:p>
        </w:tc>
        <w:tc>
          <w:tcPr>
            <w:tcW w:w="2160" w:type="dxa"/>
            <w:shd w:val="clear" w:color="auto" w:fill="auto"/>
          </w:tcPr>
          <w:p>
            <w:pPr>
              <w:snapToGrid w:val="0"/>
              <w:spacing w:line="288"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1.对文中出现的商务日语的专业术语进行了详细解析。</w:t>
            </w:r>
          </w:p>
        </w:tc>
        <w:tc>
          <w:tcPr>
            <w:tcW w:w="1276" w:type="dxa"/>
            <w:vMerge w:val="restart"/>
            <w:shd w:val="clear" w:color="auto" w:fill="auto"/>
            <w:vAlign w:val="center"/>
          </w:tcPr>
          <w:p>
            <w:pPr>
              <w:snapToGrid w:val="0"/>
              <w:spacing w:line="288" w:lineRule="auto"/>
              <w:jc w:val="center"/>
              <w:rPr>
                <w:rFonts w:ascii="仿宋" w:hAnsi="仿宋" w:eastAsia="仿宋" w:cs="宋体"/>
                <w:color w:val="000000"/>
                <w:kern w:val="0"/>
                <w:sz w:val="24"/>
                <w:szCs w:val="24"/>
              </w:rPr>
            </w:pPr>
            <w:r>
              <w:rPr>
                <w:rFonts w:ascii="仿宋" w:hAnsi="仿宋" w:eastAsia="仿宋" w:cs="宋体"/>
                <w:color w:val="000000"/>
                <w:kern w:val="0"/>
                <w:sz w:val="24"/>
                <w:szCs w:val="24"/>
              </w:rPr>
              <w:t>课堂</w:t>
            </w:r>
            <w:r>
              <w:rPr>
                <w:rFonts w:hint="eastAsia" w:ascii="仿宋" w:hAnsi="仿宋" w:eastAsia="仿宋" w:cs="宋体"/>
                <w:color w:val="000000"/>
                <w:kern w:val="0"/>
                <w:sz w:val="24"/>
              </w:rPr>
              <w:t>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35" w:type="dxa"/>
            <w:vMerge w:val="continue"/>
            <w:shd w:val="clear" w:color="auto" w:fill="auto"/>
            <w:vAlign w:val="center"/>
          </w:tcPr>
          <w:p>
            <w:pPr>
              <w:jc w:val="left"/>
              <w:rPr>
                <w:rFonts w:ascii="仿宋" w:hAnsi="仿宋" w:eastAsia="仿宋" w:cs="宋体"/>
                <w:color w:val="000000"/>
                <w:kern w:val="0"/>
                <w:sz w:val="24"/>
                <w:szCs w:val="24"/>
              </w:rPr>
            </w:pPr>
          </w:p>
        </w:tc>
        <w:tc>
          <w:tcPr>
            <w:tcW w:w="1133" w:type="dxa"/>
            <w:vMerge w:val="continue"/>
            <w:shd w:val="clear" w:color="auto" w:fill="auto"/>
            <w:vAlign w:val="center"/>
          </w:tcPr>
          <w:p>
            <w:pPr>
              <w:jc w:val="left"/>
              <w:rPr>
                <w:rFonts w:ascii="仿宋" w:hAnsi="仿宋" w:eastAsia="仿宋" w:cs="宋体"/>
                <w:color w:val="000000"/>
                <w:kern w:val="0"/>
                <w:sz w:val="24"/>
              </w:rPr>
            </w:pPr>
          </w:p>
        </w:tc>
        <w:tc>
          <w:tcPr>
            <w:tcW w:w="2551" w:type="dxa"/>
            <w:vMerge w:val="continue"/>
            <w:shd w:val="clear" w:color="auto" w:fill="auto"/>
          </w:tcPr>
          <w:p>
            <w:pPr>
              <w:jc w:val="left"/>
              <w:rPr>
                <w:rFonts w:ascii="仿宋" w:hAnsi="仿宋" w:eastAsia="仿宋" w:cs="宋体"/>
                <w:color w:val="000000"/>
                <w:kern w:val="0"/>
                <w:sz w:val="24"/>
                <w:szCs w:val="24"/>
              </w:rPr>
            </w:pPr>
          </w:p>
        </w:tc>
        <w:tc>
          <w:tcPr>
            <w:tcW w:w="2160" w:type="dxa"/>
            <w:shd w:val="clear" w:color="auto" w:fill="auto"/>
          </w:tcPr>
          <w:p>
            <w:pPr>
              <w:snapToGrid w:val="0"/>
              <w:spacing w:line="288"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2.结合商贸与日语的专题，督促学生针对进出口贸易、技术交流等方面进行调查研究。</w:t>
            </w:r>
          </w:p>
        </w:tc>
        <w:tc>
          <w:tcPr>
            <w:tcW w:w="1276" w:type="dxa"/>
            <w:vMerge w:val="continue"/>
            <w:shd w:val="clear" w:color="auto" w:fill="auto"/>
          </w:tcPr>
          <w:p>
            <w:pPr>
              <w:snapToGrid w:val="0"/>
              <w:spacing w:line="288" w:lineRule="auto"/>
              <w:jc w:val="left"/>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1133" w:type="dxa"/>
            <w:shd w:val="clear" w:color="auto" w:fill="auto"/>
            <w:vAlign w:val="center"/>
          </w:tcPr>
          <w:p>
            <w:pPr>
              <w:jc w:val="center"/>
              <w:rPr>
                <w:rFonts w:ascii="仿宋" w:hAnsi="仿宋" w:eastAsia="仿宋" w:cs="宋体"/>
                <w:color w:val="000000"/>
                <w:kern w:val="0"/>
                <w:sz w:val="24"/>
              </w:rPr>
            </w:pPr>
            <w:r>
              <w:rPr>
                <w:rFonts w:ascii="仿宋" w:hAnsi="仿宋" w:eastAsia="仿宋" w:cs="宋体"/>
                <w:color w:val="000000"/>
                <w:kern w:val="0"/>
                <w:sz w:val="24"/>
              </w:rPr>
              <w:t>LO35</w:t>
            </w:r>
          </w:p>
        </w:tc>
        <w:tc>
          <w:tcPr>
            <w:tcW w:w="2551" w:type="dxa"/>
            <w:shd w:val="clear" w:color="auto" w:fill="auto"/>
            <w:vAlign w:val="center"/>
          </w:tcPr>
          <w:p>
            <w:pPr>
              <w:jc w:val="left"/>
              <w:rPr>
                <w:rFonts w:ascii="仿宋" w:hAnsi="仿宋" w:eastAsia="仿宋" w:cs="宋体"/>
                <w:color w:val="000000"/>
                <w:kern w:val="0"/>
                <w:sz w:val="24"/>
                <w:szCs w:val="24"/>
              </w:rPr>
            </w:pPr>
            <w:r>
              <w:rPr>
                <w:rFonts w:hint="eastAsia" w:ascii="仿宋" w:hAnsi="仿宋" w:eastAsia="仿宋" w:cs="宋体"/>
                <w:color w:val="000000"/>
                <w:kern w:val="0"/>
                <w:sz w:val="24"/>
              </w:rPr>
              <w:t>掌握对日经济贸易的基本内容和相关的业务环节</w:t>
            </w:r>
          </w:p>
        </w:tc>
        <w:tc>
          <w:tcPr>
            <w:tcW w:w="2160" w:type="dxa"/>
            <w:shd w:val="clear" w:color="auto" w:fill="auto"/>
            <w:vAlign w:val="center"/>
          </w:tcPr>
          <w:p>
            <w:pPr>
              <w:snapToGrid w:val="0"/>
              <w:spacing w:line="288"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针对教科书中的关联表现，结合案例进行分析，并操作演练。</w:t>
            </w:r>
          </w:p>
        </w:tc>
        <w:tc>
          <w:tcPr>
            <w:tcW w:w="1276" w:type="dxa"/>
            <w:shd w:val="clear" w:color="auto" w:fill="auto"/>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33" w:type="dxa"/>
            <w:shd w:val="clear" w:color="auto" w:fill="auto"/>
            <w:vAlign w:val="center"/>
          </w:tcPr>
          <w:p>
            <w:pPr>
              <w:jc w:val="center"/>
              <w:rPr>
                <w:rFonts w:ascii="仿宋" w:hAnsi="仿宋" w:eastAsia="仿宋" w:cs="宋体"/>
                <w:color w:val="000000"/>
                <w:kern w:val="0"/>
                <w:sz w:val="24"/>
              </w:rPr>
            </w:pPr>
            <w:r>
              <w:rPr>
                <w:rFonts w:ascii="仿宋" w:hAnsi="仿宋" w:eastAsia="仿宋" w:cs="宋体"/>
                <w:color w:val="000000"/>
                <w:kern w:val="0"/>
                <w:sz w:val="24"/>
              </w:rPr>
              <w:t>L081</w:t>
            </w:r>
            <w:r>
              <w:rPr>
                <w:rFonts w:hint="eastAsia" w:ascii="仿宋" w:hAnsi="仿宋" w:eastAsia="仿宋" w:cs="宋体"/>
                <w:color w:val="000000"/>
                <w:kern w:val="0"/>
                <w:sz w:val="24"/>
              </w:rPr>
              <w:t>2</w:t>
            </w:r>
          </w:p>
        </w:tc>
        <w:tc>
          <w:tcPr>
            <w:tcW w:w="2551" w:type="dxa"/>
            <w:shd w:val="clear" w:color="auto" w:fill="auto"/>
            <w:vAlign w:val="center"/>
          </w:tcPr>
          <w:p>
            <w:pPr>
              <w:jc w:val="left"/>
              <w:rPr>
                <w:rFonts w:ascii="仿宋" w:hAnsi="仿宋" w:eastAsia="仿宋" w:cs="宋体"/>
                <w:color w:val="000000"/>
                <w:kern w:val="0"/>
                <w:sz w:val="24"/>
              </w:rPr>
            </w:pPr>
            <w:r>
              <w:rPr>
                <w:rFonts w:hint="eastAsia" w:ascii="仿宋" w:hAnsi="仿宋" w:eastAsia="仿宋" w:cs="宋体"/>
                <w:color w:val="000000"/>
                <w:kern w:val="0"/>
                <w:sz w:val="24"/>
              </w:rPr>
              <w:t>理解日本的国家历史文化和经济发展历程，有跨文化交流能力。培养学生的国际视野。</w:t>
            </w:r>
          </w:p>
        </w:tc>
        <w:tc>
          <w:tcPr>
            <w:tcW w:w="2160" w:type="dxa"/>
            <w:shd w:val="clear" w:color="auto" w:fill="auto"/>
            <w:vAlign w:val="center"/>
          </w:tcPr>
          <w:p>
            <w:pPr>
              <w:snapToGrid w:val="0"/>
              <w:spacing w:line="288" w:lineRule="auto"/>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通过学习和调查研究，增加对中日贸易交流的历史和现状的理解。</w:t>
            </w:r>
          </w:p>
        </w:tc>
        <w:tc>
          <w:tcPr>
            <w:tcW w:w="1276" w:type="dxa"/>
            <w:shd w:val="clear" w:color="auto" w:fill="auto"/>
            <w:vAlign w:val="center"/>
          </w:tcPr>
          <w:p>
            <w:pPr>
              <w:snapToGrid w:val="0"/>
              <w:spacing w:line="288" w:lineRule="auto"/>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课堂提问</w:t>
            </w:r>
          </w:p>
        </w:tc>
      </w:tr>
    </w:tbl>
    <w:p>
      <w:pPr>
        <w:snapToGrid w:val="0"/>
        <w:spacing w:line="288" w:lineRule="auto"/>
        <w:rPr>
          <w:rFonts w:hint="eastAsia" w:ascii="黑体" w:hAnsi="宋体" w:eastAsia="黑体"/>
          <w:sz w:val="24"/>
        </w:rPr>
      </w:pPr>
    </w:p>
    <w:p>
      <w:pPr>
        <w:snapToGrid w:val="0"/>
        <w:spacing w:line="288" w:lineRule="auto"/>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bCs/>
          <w:sz w:val="20"/>
          <w:szCs w:val="20"/>
        </w:rPr>
      </w:pPr>
      <w:r>
        <w:rPr>
          <w:rFonts w:hint="eastAsia"/>
          <w:bCs/>
          <w:sz w:val="20"/>
          <w:szCs w:val="20"/>
        </w:rPr>
        <w:t>本课程建议课时数为32，理论课时数为8。</w:t>
      </w:r>
    </w:p>
    <w:tbl>
      <w:tblPr>
        <w:tblStyle w:val="1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701"/>
        <w:gridCol w:w="1701"/>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tcPr>
          <w:p>
            <w:pPr>
              <w:snapToGrid w:val="0"/>
              <w:spacing w:line="288"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单元</w:t>
            </w:r>
          </w:p>
        </w:tc>
        <w:tc>
          <w:tcPr>
            <w:tcW w:w="1276" w:type="dxa"/>
            <w:vAlign w:val="center"/>
          </w:tcPr>
          <w:p>
            <w:pPr>
              <w:snapToGrid w:val="0"/>
              <w:spacing w:line="288"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内容构成</w:t>
            </w:r>
          </w:p>
        </w:tc>
        <w:tc>
          <w:tcPr>
            <w:tcW w:w="1701" w:type="dxa"/>
            <w:vAlign w:val="center"/>
          </w:tcPr>
          <w:p>
            <w:pPr>
              <w:snapToGrid w:val="0"/>
              <w:spacing w:line="288"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知识点</w:t>
            </w:r>
            <w:r>
              <w:rPr>
                <w:rFonts w:hint="eastAsia" w:ascii="Times New Roman" w:hAnsi="Times New Roman" w:eastAsia="宋体" w:cs="Times New Roman"/>
                <w:b/>
                <w:bCs/>
                <w:kern w:val="0"/>
                <w:sz w:val="20"/>
                <w:szCs w:val="20"/>
              </w:rPr>
              <w:t>（运用）</w:t>
            </w:r>
          </w:p>
        </w:tc>
        <w:tc>
          <w:tcPr>
            <w:tcW w:w="1701" w:type="dxa"/>
            <w:vAlign w:val="center"/>
          </w:tcPr>
          <w:p>
            <w:pPr>
              <w:snapToGrid w:val="0"/>
              <w:spacing w:line="288"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教学重难点</w:t>
            </w:r>
          </w:p>
        </w:tc>
        <w:tc>
          <w:tcPr>
            <w:tcW w:w="3402" w:type="dxa"/>
            <w:vAlign w:val="center"/>
          </w:tcPr>
          <w:p>
            <w:pPr>
              <w:snapToGrid w:val="0"/>
              <w:spacing w:line="288" w:lineRule="auto"/>
              <w:jc w:val="center"/>
              <w:rPr>
                <w:rFonts w:ascii="Times New Roman" w:hAnsi="Times New Roman" w:eastAsia="宋体" w:cs="Times New Roman"/>
                <w:b/>
                <w:bCs/>
                <w:kern w:val="0"/>
                <w:sz w:val="20"/>
                <w:szCs w:val="20"/>
              </w:rPr>
            </w:pPr>
            <w:r>
              <w:rPr>
                <w:rFonts w:ascii="Times New Roman" w:hAnsi="Times New Roman" w:eastAsia="宋体" w:cs="Times New Roman"/>
                <w:b/>
                <w:bCs/>
                <w:kern w:val="0"/>
                <w:sz w:val="20"/>
                <w:szCs w:val="20"/>
              </w:rPr>
              <w:t>知识能力要求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napToGrid w:val="0"/>
              <w:spacing w:line="288" w:lineRule="auto"/>
              <w:jc w:val="center"/>
              <w:rPr>
                <w:rFonts w:ascii="Times New Roman" w:hAnsi="Times New Roman" w:eastAsia="宋体" w:cs="Times New Roman"/>
                <w:bCs/>
                <w:kern w:val="0"/>
                <w:sz w:val="20"/>
                <w:szCs w:val="20"/>
              </w:rPr>
            </w:pPr>
            <w:r>
              <w:rPr>
                <w:rFonts w:hint="eastAsia" w:ascii="MS Mincho" w:hAnsi="MS Mincho" w:eastAsia="MS Mincho" w:cs="Times New Roman"/>
                <w:bCs/>
                <w:kern w:val="0"/>
                <w:sz w:val="20"/>
                <w:szCs w:val="20"/>
                <w:lang w:eastAsia="ja-JP"/>
              </w:rPr>
              <w:t>１</w:t>
            </w:r>
          </w:p>
        </w:tc>
        <w:tc>
          <w:tcPr>
            <w:tcW w:w="1276" w:type="dxa"/>
            <w:vAlign w:val="center"/>
          </w:tcPr>
          <w:p>
            <w:pPr>
              <w:snapToGrid w:val="0"/>
              <w:spacing w:line="288" w:lineRule="auto"/>
              <w:rPr>
                <w:rFonts w:ascii="MS Mincho" w:hAnsi="MS Mincho" w:eastAsia="MS Mincho" w:cs="Times New Roman"/>
                <w:bCs/>
                <w:kern w:val="0"/>
                <w:sz w:val="20"/>
                <w:szCs w:val="20"/>
              </w:rPr>
            </w:pPr>
            <w:r>
              <w:rPr>
                <w:rFonts w:hint="eastAsia" w:cs="Times New Roman" w:asciiTheme="minorEastAsia" w:hAnsiTheme="minorEastAsia" w:eastAsiaTheme="minorEastAsia"/>
                <w:bCs/>
                <w:kern w:val="0"/>
                <w:sz w:val="20"/>
                <w:szCs w:val="20"/>
              </w:rPr>
              <w:t>询盘、报盘、还盘、接受交易条件等</w:t>
            </w:r>
            <w:r>
              <w:rPr>
                <w:rFonts w:hint="eastAsia" w:ascii="MS Mincho" w:hAnsi="MS Mincho" w:cs="Times New Roman" w:eastAsiaTheme="minorEastAsia"/>
                <w:bCs/>
                <w:kern w:val="0"/>
                <w:sz w:val="20"/>
                <w:szCs w:val="20"/>
              </w:rPr>
              <w:t>概念及在商贸活动中含义</w:t>
            </w:r>
            <w:r>
              <w:rPr>
                <w:rFonts w:hint="eastAsia" w:cs="Times New Roman" w:asciiTheme="minorEastAsia" w:hAnsiTheme="minorEastAsia" w:eastAsiaTheme="minorEastAsia"/>
                <w:bCs/>
                <w:kern w:val="0"/>
                <w:sz w:val="20"/>
                <w:szCs w:val="20"/>
              </w:rPr>
              <w:t>。</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cs="Times New Roman" w:asciiTheme="minorEastAsia" w:hAnsiTheme="minorEastAsia" w:eastAsiaTheme="minorEastAsia"/>
                <w:bCs/>
                <w:kern w:val="0"/>
                <w:sz w:val="20"/>
                <w:szCs w:val="20"/>
              </w:rPr>
              <w:t>要求学生了解与询盘、报盘、还盘、接受交易条件等相关的信函行文要求，理解商业习惯方面中日两国企业文化的差异。</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熟悉进出口贸易业务流程，了解在商贸活动前期对市场调查、对潜在客户信资调查的必要性、方法及途径。</w:t>
            </w:r>
          </w:p>
        </w:tc>
        <w:tc>
          <w:tcPr>
            <w:tcW w:w="3402" w:type="dxa"/>
          </w:tcPr>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1、</w:t>
            </w:r>
            <w:r>
              <w:rPr>
                <w:rFonts w:hint="eastAsia" w:ascii="Times New Roman" w:hAnsi="Times New Roman" w:eastAsia="宋体" w:cs="Times New Roman"/>
                <w:bCs/>
                <w:kern w:val="0"/>
                <w:sz w:val="20"/>
                <w:szCs w:val="20"/>
              </w:rPr>
              <w:t>熟记单词</w:t>
            </w:r>
            <w:r>
              <w:rPr>
                <w:rFonts w:hint="eastAsia" w:ascii="MS Mincho" w:hAnsi="MS Mincho" w:eastAsia="MS Mincho" w:cs="Times New Roman"/>
                <w:bCs/>
                <w:kern w:val="0"/>
                <w:sz w:val="20"/>
                <w:szCs w:val="20"/>
              </w:rPr>
              <w:t>。</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2、</w:t>
            </w:r>
            <w:r>
              <w:rPr>
                <w:rFonts w:hint="eastAsia" w:ascii="Times New Roman" w:hAnsi="Times New Roman" w:eastAsia="宋体" w:cs="Times New Roman"/>
                <w:bCs/>
                <w:kern w:val="0"/>
                <w:sz w:val="20"/>
                <w:szCs w:val="20"/>
              </w:rPr>
              <w:t>要求本文背诵，能正确理解。特别是里面出现的新单词、新句型要熟练掌握。</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3、</w:t>
            </w:r>
            <w:r>
              <w:rPr>
                <w:rFonts w:hint="eastAsia" w:ascii="Times New Roman" w:hAnsi="Times New Roman" w:eastAsia="宋体" w:cs="Times New Roman"/>
                <w:bCs/>
                <w:kern w:val="0"/>
                <w:sz w:val="20"/>
                <w:szCs w:val="20"/>
              </w:rPr>
              <w:t>要求模仿课文内容，设置场景进行会话练习。</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4</w:t>
            </w:r>
            <w:r>
              <w:rPr>
                <w:rFonts w:hint="eastAsia" w:ascii="MS Mincho" w:hAnsi="MS Mincho" w:eastAsia="MS Mincho" w:cs="Times New Roman"/>
                <w:bCs/>
                <w:kern w:val="0"/>
                <w:sz w:val="20"/>
                <w:szCs w:val="20"/>
              </w:rPr>
              <w:t>、</w:t>
            </w:r>
            <w:r>
              <w:rPr>
                <w:rFonts w:hint="eastAsia" w:ascii="Times New Roman" w:hAnsi="Times New Roman" w:eastAsia="宋体" w:cs="Times New Roman"/>
                <w:bCs/>
                <w:kern w:val="0"/>
                <w:sz w:val="20"/>
                <w:szCs w:val="20"/>
              </w:rPr>
              <w:t>帮助学生分析其主要内容，提高广泛阅读能力</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5、</w:t>
            </w:r>
            <w:r>
              <w:rPr>
                <w:rFonts w:hint="eastAsia" w:ascii="Times New Roman" w:hAnsi="Times New Roman" w:eastAsia="宋体" w:cs="Times New Roman"/>
                <w:bCs/>
                <w:kern w:val="0"/>
                <w:sz w:val="20"/>
                <w:szCs w:val="20"/>
              </w:rPr>
              <w:t>通过练习考查本课知识掌握情况。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napToGrid w:val="0"/>
              <w:spacing w:line="288" w:lineRule="auto"/>
              <w:jc w:val="center"/>
              <w:rPr>
                <w:rFonts w:ascii="Times New Roman" w:hAnsi="Times New Roman" w:eastAsia="MS Mincho" w:cs="Times New Roman"/>
                <w:bCs/>
                <w:kern w:val="0"/>
                <w:sz w:val="20"/>
                <w:szCs w:val="20"/>
                <w:lang w:eastAsia="ja-JP"/>
              </w:rPr>
            </w:pPr>
            <w:r>
              <w:rPr>
                <w:rFonts w:hint="eastAsia" w:ascii="Times New Roman" w:hAnsi="Times New Roman" w:eastAsia="MS Mincho" w:cs="Times New Roman"/>
                <w:bCs/>
                <w:kern w:val="0"/>
                <w:sz w:val="20"/>
                <w:szCs w:val="20"/>
                <w:lang w:eastAsia="ja-JP"/>
              </w:rPr>
              <w:t>2</w:t>
            </w:r>
          </w:p>
        </w:tc>
        <w:tc>
          <w:tcPr>
            <w:tcW w:w="1276" w:type="dxa"/>
            <w:vAlign w:val="center"/>
          </w:tcPr>
          <w:p>
            <w:pPr>
              <w:snapToGrid w:val="0"/>
              <w:spacing w:line="288" w:lineRule="auto"/>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商品品质、数量及包装等概念及在商贸活动中的含义。</w:t>
            </w:r>
          </w:p>
          <w:p>
            <w:pPr>
              <w:pStyle w:val="19"/>
              <w:snapToGrid w:val="0"/>
              <w:spacing w:line="288" w:lineRule="auto"/>
              <w:ind w:left="360" w:firstLine="0" w:firstLineChars="0"/>
              <w:rPr>
                <w:rFonts w:asciiTheme="minorEastAsia" w:hAnsiTheme="minorEastAsia" w:eastAsiaTheme="minorEastAsia"/>
                <w:bCs/>
                <w:kern w:val="0"/>
                <w:sz w:val="20"/>
                <w:szCs w:val="20"/>
              </w:rPr>
            </w:pPr>
          </w:p>
        </w:tc>
        <w:tc>
          <w:tcPr>
            <w:tcW w:w="1701" w:type="dxa"/>
            <w:vAlign w:val="center"/>
          </w:tcPr>
          <w:p>
            <w:pPr>
              <w:snapToGrid w:val="0"/>
              <w:spacing w:line="288" w:lineRule="auto"/>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要求学生了解商品品质条件、规格、决定品质的具体时期、方法，包装和标识的种类及意义。</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熟悉国际商贸活动中针对不同商品采用不同种类的运输的包装、不同标识及“短溢装”条款。</w:t>
            </w:r>
          </w:p>
        </w:tc>
        <w:tc>
          <w:tcPr>
            <w:tcW w:w="3402" w:type="dxa"/>
          </w:tcPr>
          <w:p>
            <w:pPr>
              <w:snapToGrid w:val="0"/>
              <w:spacing w:line="288" w:lineRule="auto"/>
              <w:rPr>
                <w:rFonts w:cs="Times New Roman" w:asciiTheme="minorEastAsia" w:hAnsiTheme="minorEastAsia" w:eastAsiaTheme="minorEastAsia"/>
                <w:bCs/>
                <w:kern w:val="0"/>
                <w:sz w:val="20"/>
                <w:szCs w:val="20"/>
              </w:rPr>
            </w:pPr>
            <w:r>
              <w:rPr>
                <w:rFonts w:hint="eastAsia" w:ascii="Times New Roman" w:hAnsi="Times New Roman" w:eastAsia="MS Mincho" w:cs="Times New Roman"/>
                <w:bCs/>
                <w:kern w:val="0"/>
                <w:sz w:val="20"/>
                <w:szCs w:val="20"/>
              </w:rPr>
              <w:t>1、</w:t>
            </w:r>
            <w:r>
              <w:rPr>
                <w:rFonts w:hint="eastAsia" w:cs="Times New Roman" w:asciiTheme="minorEastAsia" w:hAnsiTheme="minorEastAsia" w:eastAsiaTheme="minorEastAsia"/>
                <w:bCs/>
                <w:kern w:val="0"/>
                <w:sz w:val="20"/>
                <w:szCs w:val="20"/>
              </w:rPr>
              <w:t>熟记单词。</w:t>
            </w:r>
          </w:p>
          <w:p>
            <w:pPr>
              <w:snapToGrid w:val="0"/>
              <w:spacing w:line="288" w:lineRule="auto"/>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2、要求本文背诵，能正确理解。特别是里面出现的新单词、新句型要熟练掌握。</w:t>
            </w:r>
          </w:p>
          <w:p>
            <w:pPr>
              <w:snapToGrid w:val="0"/>
              <w:spacing w:line="288" w:lineRule="auto"/>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3、要求模仿课文内容，设置场景进行会话练习。</w:t>
            </w:r>
          </w:p>
          <w:p>
            <w:pPr>
              <w:snapToGrid w:val="0"/>
              <w:spacing w:line="288" w:lineRule="auto"/>
              <w:rPr>
                <w:rFonts w:cs="Times New Roman" w:asciiTheme="minorEastAsia" w:hAnsiTheme="minorEastAsia" w:eastAsiaTheme="minorEastAsia"/>
                <w:bCs/>
                <w:kern w:val="0"/>
                <w:sz w:val="20"/>
                <w:szCs w:val="20"/>
              </w:rPr>
            </w:pPr>
            <w:r>
              <w:rPr>
                <w:rFonts w:hint="eastAsia" w:cs="Times New Roman" w:asciiTheme="minorEastAsia" w:hAnsiTheme="minorEastAsia" w:eastAsiaTheme="minorEastAsia"/>
                <w:bCs/>
                <w:kern w:val="0"/>
                <w:sz w:val="20"/>
                <w:szCs w:val="20"/>
              </w:rPr>
              <w:t>4、帮助学生分析其主要内容，提高广泛阅读能力</w:t>
            </w:r>
          </w:p>
          <w:p>
            <w:pPr>
              <w:snapToGrid w:val="0"/>
              <w:spacing w:line="288" w:lineRule="auto"/>
              <w:rPr>
                <w:rFonts w:ascii="Times New Roman" w:hAnsi="Times New Roman" w:eastAsia="MS Mincho" w:cs="Times New Roman"/>
                <w:bCs/>
                <w:kern w:val="0"/>
                <w:sz w:val="20"/>
                <w:szCs w:val="20"/>
              </w:rPr>
            </w:pPr>
            <w:r>
              <w:rPr>
                <w:rFonts w:hint="eastAsia" w:cs="Times New Roman" w:asciiTheme="minorEastAsia" w:hAnsiTheme="minorEastAsia" w:eastAsiaTheme="minorEastAsia"/>
                <w:bCs/>
                <w:kern w:val="0"/>
                <w:sz w:val="20"/>
                <w:szCs w:val="20"/>
              </w:rPr>
              <w:t>5、通过练习考查本课知识掌握情况。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napToGrid w:val="0"/>
              <w:spacing w:line="288" w:lineRule="auto"/>
              <w:jc w:val="center"/>
              <w:rPr>
                <w:rFonts w:ascii="Times New Roman" w:hAnsi="Times New Roman" w:eastAsia="宋体" w:cs="Times New Roman"/>
                <w:bCs/>
                <w:kern w:val="0"/>
                <w:sz w:val="20"/>
                <w:szCs w:val="20"/>
              </w:rPr>
            </w:pPr>
            <w:r>
              <w:rPr>
                <w:rFonts w:hint="eastAsia" w:ascii="MS Mincho" w:hAnsi="MS Mincho" w:eastAsia="MS Mincho" w:cs="Times New Roman"/>
                <w:bCs/>
                <w:kern w:val="0"/>
                <w:sz w:val="20"/>
                <w:szCs w:val="20"/>
                <w:lang w:eastAsia="ja-JP"/>
              </w:rPr>
              <w:t>3</w:t>
            </w:r>
          </w:p>
        </w:tc>
        <w:tc>
          <w:tcPr>
            <w:tcW w:w="1276" w:type="dxa"/>
            <w:vAlign w:val="center"/>
          </w:tcPr>
          <w:p>
            <w:pPr>
              <w:snapToGrid w:val="0"/>
              <w:spacing w:line="288" w:lineRule="auto"/>
              <w:rPr>
                <w:rFonts w:cs="Times New Roman" w:asciiTheme="minorEastAsia" w:hAnsiTheme="minorEastAsia" w:eastAsiaTheme="minorEastAsia"/>
                <w:bCs/>
                <w:kern w:val="0"/>
                <w:sz w:val="20"/>
                <w:szCs w:val="20"/>
              </w:rPr>
            </w:pPr>
            <w:r>
              <w:rPr>
                <w:rFonts w:hint="eastAsia" w:ascii="MS Mincho" w:hAnsi="MS Mincho" w:cs="Times New Roman" w:eastAsiaTheme="minorEastAsia"/>
                <w:bCs/>
                <w:kern w:val="0"/>
                <w:sz w:val="20"/>
                <w:szCs w:val="20"/>
              </w:rPr>
              <w:t>交易价格与贸易条件的种类、含义、买卖双方的权利及义务。</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eastAsia="MS Mincho" w:cs="Times New Roman"/>
                <w:bCs/>
                <w:kern w:val="0"/>
                <w:sz w:val="20"/>
                <w:szCs w:val="20"/>
              </w:rPr>
              <w:t>《</w:t>
            </w:r>
            <w:r>
              <w:rPr>
                <w:rFonts w:hint="eastAsia" w:ascii="Times New Roman" w:hAnsi="Times New Roman" w:cs="Times New Roman" w:eastAsiaTheme="minorEastAsia"/>
                <w:bCs/>
                <w:kern w:val="0"/>
                <w:sz w:val="20"/>
                <w:szCs w:val="20"/>
              </w:rPr>
              <w:t>国际贸易术语解释通则2020</w:t>
            </w:r>
            <w:r>
              <w:rPr>
                <w:rFonts w:hint="eastAsia" w:ascii="MS Mincho" w:hAnsi="MS Mincho" w:eastAsia="MS Mincho" w:cs="Times New Roman"/>
                <w:bCs/>
                <w:kern w:val="0"/>
                <w:sz w:val="20"/>
                <w:szCs w:val="20"/>
              </w:rPr>
              <w:t>》</w:t>
            </w:r>
            <w:r>
              <w:rPr>
                <w:rFonts w:hint="eastAsia" w:ascii="MS Mincho" w:hAnsi="MS Mincho" w:cs="Times New Roman" w:eastAsiaTheme="minorEastAsia"/>
                <w:bCs/>
                <w:kern w:val="0"/>
                <w:sz w:val="20"/>
                <w:szCs w:val="20"/>
              </w:rPr>
              <w:t>中涉及的通常贸易条件的含义及运用。</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FOB、CIF、DAT、DAP、DDP、EXW、FAS：买卖方各自所承担的风险、费用及界定方法。</w:t>
            </w:r>
          </w:p>
        </w:tc>
        <w:tc>
          <w:tcPr>
            <w:tcW w:w="3402" w:type="dxa"/>
          </w:tcPr>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1、</w:t>
            </w:r>
            <w:r>
              <w:rPr>
                <w:rFonts w:hint="eastAsia" w:ascii="Times New Roman" w:hAnsi="Times New Roman" w:eastAsia="宋体" w:cs="Times New Roman"/>
                <w:bCs/>
                <w:kern w:val="0"/>
                <w:sz w:val="20"/>
                <w:szCs w:val="20"/>
              </w:rPr>
              <w:t>熟记单词</w:t>
            </w:r>
            <w:r>
              <w:rPr>
                <w:rFonts w:hint="eastAsia" w:ascii="MS Mincho" w:hAnsi="MS Mincho" w:eastAsia="MS Mincho" w:cs="Times New Roman"/>
                <w:bCs/>
                <w:kern w:val="0"/>
                <w:sz w:val="20"/>
                <w:szCs w:val="20"/>
              </w:rPr>
              <w:t>。</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2、</w:t>
            </w:r>
            <w:r>
              <w:rPr>
                <w:rFonts w:hint="eastAsia" w:ascii="Times New Roman" w:hAnsi="Times New Roman" w:eastAsia="宋体" w:cs="Times New Roman"/>
                <w:bCs/>
                <w:kern w:val="0"/>
                <w:sz w:val="20"/>
                <w:szCs w:val="20"/>
              </w:rPr>
              <w:t>要求本文背诵，能正确理解。特别是里面出现的新单词、新句型要熟练掌握。</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3、</w:t>
            </w:r>
            <w:r>
              <w:rPr>
                <w:rFonts w:hint="eastAsia" w:ascii="Times New Roman" w:hAnsi="Times New Roman" w:eastAsia="宋体" w:cs="Times New Roman"/>
                <w:bCs/>
                <w:kern w:val="0"/>
                <w:sz w:val="20"/>
                <w:szCs w:val="20"/>
              </w:rPr>
              <w:t>要求模仿课文内容，设置场景进行会话练习。</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4、</w:t>
            </w:r>
            <w:r>
              <w:rPr>
                <w:rFonts w:hint="eastAsia" w:ascii="Times New Roman" w:hAnsi="Times New Roman" w:eastAsia="宋体" w:cs="Times New Roman"/>
                <w:bCs/>
                <w:kern w:val="0"/>
                <w:sz w:val="20"/>
                <w:szCs w:val="20"/>
              </w:rPr>
              <w:t>帮助学生分析其主要内容，提高广泛阅读能力</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5</w:t>
            </w:r>
            <w:r>
              <w:rPr>
                <w:rFonts w:hint="eastAsia" w:ascii="MS Mincho" w:hAnsi="MS Mincho" w:eastAsia="MS Mincho" w:cs="Times New Roman"/>
                <w:bCs/>
                <w:kern w:val="0"/>
                <w:sz w:val="20"/>
                <w:szCs w:val="20"/>
              </w:rPr>
              <w:t>、</w:t>
            </w:r>
            <w:r>
              <w:rPr>
                <w:rFonts w:hint="eastAsia" w:ascii="Times New Roman" w:hAnsi="Times New Roman" w:eastAsia="宋体" w:cs="Times New Roman"/>
                <w:bCs/>
                <w:kern w:val="0"/>
                <w:sz w:val="20"/>
                <w:szCs w:val="20"/>
              </w:rPr>
              <w:t>通过练习考查本课知识掌握情况。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pPr>
              <w:snapToGrid w:val="0"/>
              <w:spacing w:line="288" w:lineRule="auto"/>
              <w:jc w:val="center"/>
              <w:rPr>
                <w:rFonts w:ascii="Times New Roman" w:hAnsi="Times New Roman" w:eastAsia="宋体" w:cs="Times New Roman"/>
                <w:bCs/>
                <w:kern w:val="0"/>
                <w:sz w:val="20"/>
                <w:szCs w:val="20"/>
              </w:rPr>
            </w:pPr>
            <w:r>
              <w:rPr>
                <w:rFonts w:hint="eastAsia" w:ascii="MS Mincho" w:hAnsi="MS Mincho" w:eastAsia="MS Mincho" w:cs="Times New Roman"/>
                <w:bCs/>
                <w:kern w:val="0"/>
                <w:sz w:val="20"/>
                <w:szCs w:val="20"/>
                <w:lang w:eastAsia="ja-JP"/>
              </w:rPr>
              <w:t>4</w:t>
            </w:r>
          </w:p>
        </w:tc>
        <w:tc>
          <w:tcPr>
            <w:tcW w:w="1276" w:type="dxa"/>
            <w:vAlign w:val="center"/>
          </w:tcPr>
          <w:p>
            <w:pPr>
              <w:snapToGrid w:val="0"/>
              <w:spacing w:line="288" w:lineRule="auto"/>
              <w:rPr>
                <w:rFonts w:cs="Times New Roman" w:asciiTheme="minorEastAsia" w:hAnsiTheme="minorEastAsia" w:eastAsiaTheme="minorEastAsia"/>
                <w:bCs/>
                <w:kern w:val="0"/>
                <w:sz w:val="20"/>
                <w:szCs w:val="20"/>
              </w:rPr>
            </w:pPr>
            <w:r>
              <w:rPr>
                <w:rFonts w:hint="eastAsia" w:ascii="MS Mincho" w:hAnsi="MS Mincho" w:cs="Times New Roman" w:eastAsiaTheme="minorEastAsia"/>
                <w:bCs/>
                <w:kern w:val="0"/>
                <w:sz w:val="20"/>
                <w:szCs w:val="20"/>
              </w:rPr>
              <w:t>国际货运及保险的种类及所涉及的各类单据。</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r>
              <w:rPr>
                <w:rFonts w:hint="eastAsia" w:ascii="MS Mincho" w:hAnsi="MS Mincho" w:cs="Times New Roman" w:eastAsiaTheme="minorEastAsia"/>
                <w:bCs/>
                <w:kern w:val="0"/>
                <w:sz w:val="20"/>
                <w:szCs w:val="20"/>
              </w:rPr>
              <w:t>海运提单、多式联运提单、转船提单、直达提单、指示提单、无记名提单：辨别及运用。</w:t>
            </w:r>
          </w:p>
        </w:tc>
        <w:tc>
          <w:tcPr>
            <w:tcW w:w="1701" w:type="dxa"/>
            <w:vAlign w:val="center"/>
          </w:tcPr>
          <w:p>
            <w:pPr>
              <w:snapToGrid w:val="0"/>
              <w:spacing w:line="288" w:lineRule="auto"/>
              <w:rPr>
                <w:rFonts w:ascii="Times New Roman" w:hAnsi="Times New Roman" w:cs="Times New Roman" w:eastAsiaTheme="minorEastAsia"/>
                <w:bCs/>
                <w:kern w:val="0"/>
                <w:sz w:val="20"/>
                <w:szCs w:val="20"/>
              </w:rPr>
            </w:pPr>
          </w:p>
          <w:p>
            <w:pPr>
              <w:snapToGrid w:val="0"/>
              <w:spacing w:line="288" w:lineRule="auto"/>
              <w:rPr>
                <w:rFonts w:ascii="Times New Roman" w:hAnsi="Times New Roman" w:cs="Times New Roman" w:eastAsiaTheme="minorEastAsia"/>
                <w:bCs/>
                <w:kern w:val="0"/>
                <w:sz w:val="20"/>
                <w:szCs w:val="20"/>
              </w:rPr>
            </w:pPr>
          </w:p>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海上货运的风险及损失：一般附加险、特殊附加险。</w:t>
            </w:r>
          </w:p>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全损：现实全损、推定全损、分损：共同海损、单独海损、</w:t>
            </w:r>
          </w:p>
          <w:p>
            <w:pPr>
              <w:snapToGrid w:val="0"/>
              <w:spacing w:line="288" w:lineRule="auto"/>
              <w:rPr>
                <w:rFonts w:ascii="Times New Roman" w:hAnsi="Times New Roman" w:cs="Times New Roman" w:eastAsiaTheme="minorEastAsia"/>
                <w:bCs/>
                <w:kern w:val="0"/>
                <w:sz w:val="20"/>
                <w:szCs w:val="20"/>
              </w:rPr>
            </w:pPr>
            <w:r>
              <w:rPr>
                <w:rFonts w:hint="eastAsia" w:ascii="Times New Roman" w:hAnsi="Times New Roman" w:cs="Times New Roman" w:eastAsiaTheme="minorEastAsia"/>
                <w:bCs/>
                <w:kern w:val="0"/>
                <w:sz w:val="20"/>
                <w:szCs w:val="20"/>
              </w:rPr>
              <w:t>一般附加险、特殊附加险、</w:t>
            </w:r>
          </w:p>
          <w:p>
            <w:pPr>
              <w:snapToGrid w:val="0"/>
              <w:spacing w:line="288" w:lineRule="auto"/>
              <w:rPr>
                <w:rFonts w:ascii="Times New Roman" w:hAnsi="Times New Roman" w:cs="Times New Roman" w:eastAsiaTheme="minorEastAsia"/>
                <w:bCs/>
                <w:kern w:val="0"/>
                <w:sz w:val="20"/>
                <w:szCs w:val="20"/>
              </w:rPr>
            </w:pPr>
          </w:p>
        </w:tc>
        <w:tc>
          <w:tcPr>
            <w:tcW w:w="3402" w:type="dxa"/>
          </w:tcPr>
          <w:p>
            <w:pPr>
              <w:snapToGrid w:val="0"/>
              <w:spacing w:line="288" w:lineRule="auto"/>
              <w:rPr>
                <w:rFonts w:ascii="Times New Roman" w:hAnsi="Times New Roman" w:cs="Times New Roman" w:eastAsiaTheme="minorEastAsia"/>
                <w:bCs/>
                <w:kern w:val="0"/>
                <w:sz w:val="20"/>
                <w:szCs w:val="20"/>
              </w:rPr>
            </w:pPr>
          </w:p>
          <w:p>
            <w:pPr>
              <w:snapToGrid w:val="0"/>
              <w:spacing w:line="288" w:lineRule="auto"/>
              <w:rPr>
                <w:rFonts w:ascii="Times New Roman" w:hAnsi="Times New Roman" w:cs="Times New Roman" w:eastAsiaTheme="minorEastAsia"/>
                <w:bCs/>
                <w:kern w:val="0"/>
                <w:sz w:val="20"/>
                <w:szCs w:val="20"/>
              </w:rPr>
            </w:pP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1</w:t>
            </w:r>
            <w:r>
              <w:rPr>
                <w:rFonts w:hint="eastAsia" w:ascii="MS Mincho" w:hAnsi="MS Mincho" w:eastAsia="MS Mincho" w:cs="Times New Roman"/>
                <w:bCs/>
                <w:kern w:val="0"/>
                <w:sz w:val="20"/>
                <w:szCs w:val="20"/>
              </w:rPr>
              <w:t>、</w:t>
            </w:r>
            <w:r>
              <w:rPr>
                <w:rFonts w:hint="eastAsia" w:ascii="Times New Roman" w:hAnsi="Times New Roman" w:eastAsia="宋体" w:cs="Times New Roman"/>
                <w:bCs/>
                <w:kern w:val="0"/>
                <w:sz w:val="20"/>
                <w:szCs w:val="20"/>
              </w:rPr>
              <w:t>熟记单词</w:t>
            </w:r>
            <w:r>
              <w:rPr>
                <w:rFonts w:hint="eastAsia" w:ascii="MS Mincho" w:hAnsi="MS Mincho" w:eastAsia="MS Mincho" w:cs="Times New Roman"/>
                <w:bCs/>
                <w:kern w:val="0"/>
                <w:sz w:val="20"/>
                <w:szCs w:val="20"/>
              </w:rPr>
              <w:t>。</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2</w:t>
            </w:r>
            <w:r>
              <w:rPr>
                <w:rFonts w:hint="eastAsia" w:ascii="MS Mincho" w:hAnsi="MS Mincho" w:eastAsia="MS Mincho" w:cs="Times New Roman"/>
                <w:bCs/>
                <w:kern w:val="0"/>
                <w:sz w:val="20"/>
                <w:szCs w:val="20"/>
              </w:rPr>
              <w:t>、</w:t>
            </w:r>
            <w:r>
              <w:rPr>
                <w:rFonts w:hint="eastAsia" w:ascii="Times New Roman" w:hAnsi="Times New Roman" w:eastAsia="宋体" w:cs="Times New Roman"/>
                <w:bCs/>
                <w:kern w:val="0"/>
                <w:sz w:val="20"/>
                <w:szCs w:val="20"/>
              </w:rPr>
              <w:t>要求本文背诵，能正确理解。特别是里面出现的新单词、新句型要熟练掌握。</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3、</w:t>
            </w:r>
            <w:r>
              <w:rPr>
                <w:rFonts w:hint="eastAsia" w:ascii="Times New Roman" w:hAnsi="Times New Roman" w:eastAsia="宋体" w:cs="Times New Roman"/>
                <w:bCs/>
                <w:kern w:val="0"/>
                <w:sz w:val="20"/>
                <w:szCs w:val="20"/>
              </w:rPr>
              <w:t>要求模仿课文内容，设置场景进行会话练习。</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4</w:t>
            </w:r>
            <w:r>
              <w:rPr>
                <w:rFonts w:hint="eastAsia" w:ascii="MS Mincho" w:hAnsi="MS Mincho" w:eastAsia="MS Mincho" w:cs="Times New Roman"/>
                <w:bCs/>
                <w:kern w:val="0"/>
                <w:sz w:val="20"/>
                <w:szCs w:val="20"/>
              </w:rPr>
              <w:t>、</w:t>
            </w:r>
            <w:r>
              <w:rPr>
                <w:rFonts w:hint="eastAsia" w:ascii="Times New Roman" w:hAnsi="Times New Roman" w:eastAsia="宋体" w:cs="Times New Roman"/>
                <w:bCs/>
                <w:kern w:val="0"/>
                <w:sz w:val="20"/>
                <w:szCs w:val="20"/>
              </w:rPr>
              <w:t>帮助学生分析其主要内容，提高广泛阅读能力</w:t>
            </w:r>
          </w:p>
          <w:p>
            <w:pPr>
              <w:snapToGrid w:val="0"/>
              <w:spacing w:line="288" w:lineRule="auto"/>
              <w:rPr>
                <w:rFonts w:ascii="Times New Roman" w:hAnsi="Times New Roman" w:eastAsia="宋体" w:cs="Times New Roman"/>
                <w:bCs/>
                <w:kern w:val="0"/>
                <w:sz w:val="20"/>
                <w:szCs w:val="20"/>
              </w:rPr>
            </w:pPr>
            <w:r>
              <w:rPr>
                <w:rFonts w:hint="eastAsia" w:ascii="Times New Roman" w:hAnsi="Times New Roman" w:eastAsia="MS Mincho" w:cs="Times New Roman"/>
                <w:bCs/>
                <w:kern w:val="0"/>
                <w:sz w:val="20"/>
                <w:szCs w:val="20"/>
              </w:rPr>
              <w:t>5、</w:t>
            </w:r>
            <w:r>
              <w:rPr>
                <w:rFonts w:hint="eastAsia" w:ascii="Times New Roman" w:hAnsi="Times New Roman" w:eastAsia="宋体" w:cs="Times New Roman"/>
                <w:bCs/>
                <w:kern w:val="0"/>
                <w:sz w:val="20"/>
                <w:szCs w:val="20"/>
              </w:rPr>
              <w:t>通过练习考查本课知识掌握情况。</w:t>
            </w:r>
          </w:p>
        </w:tc>
      </w:tr>
    </w:tbl>
    <w:p>
      <w:pPr>
        <w:snapToGrid w:val="0"/>
        <w:spacing w:line="288" w:lineRule="auto"/>
        <w:rPr>
          <w:rFonts w:ascii="宋体" w:hAnsi="宋体"/>
          <w:sz w:val="20"/>
          <w:szCs w:val="20"/>
        </w:rPr>
      </w:pPr>
    </w:p>
    <w:p>
      <w:pPr>
        <w:snapToGrid w:val="0"/>
        <w:spacing w:line="288" w:lineRule="auto"/>
        <w:ind w:right="2520" w:firstLine="480" w:firstLineChars="200"/>
        <w:rPr>
          <w:rFonts w:hint="eastAsia" w:ascii="黑体" w:hAnsi="宋体" w:eastAsia="黑体"/>
          <w:sz w:val="24"/>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10"/>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撰写人：章培新</w:t>
      </w:r>
      <w:r>
        <w:rPr>
          <w:sz w:val="28"/>
          <w:szCs w:val="28"/>
        </w:rPr>
        <w:t xml:space="preserve">     </w:t>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49"/>
    <w:rsid w:val="000137D9"/>
    <w:rsid w:val="00015087"/>
    <w:rsid w:val="000B565C"/>
    <w:rsid w:val="000D04FE"/>
    <w:rsid w:val="00114D6A"/>
    <w:rsid w:val="00130B0F"/>
    <w:rsid w:val="001766EE"/>
    <w:rsid w:val="001873A6"/>
    <w:rsid w:val="001A1DAA"/>
    <w:rsid w:val="001B2998"/>
    <w:rsid w:val="001B6651"/>
    <w:rsid w:val="001D0D84"/>
    <w:rsid w:val="00201C1A"/>
    <w:rsid w:val="00216961"/>
    <w:rsid w:val="00241BF8"/>
    <w:rsid w:val="00261960"/>
    <w:rsid w:val="0027174A"/>
    <w:rsid w:val="002D504B"/>
    <w:rsid w:val="002D7B54"/>
    <w:rsid w:val="00340A17"/>
    <w:rsid w:val="00352399"/>
    <w:rsid w:val="003772F1"/>
    <w:rsid w:val="0037771E"/>
    <w:rsid w:val="00377A75"/>
    <w:rsid w:val="00380577"/>
    <w:rsid w:val="00396726"/>
    <w:rsid w:val="003A3FFC"/>
    <w:rsid w:val="003A63EF"/>
    <w:rsid w:val="003A7DBE"/>
    <w:rsid w:val="003B76DC"/>
    <w:rsid w:val="003C2C4C"/>
    <w:rsid w:val="003D0AB6"/>
    <w:rsid w:val="003F16AE"/>
    <w:rsid w:val="004101FF"/>
    <w:rsid w:val="00416C1A"/>
    <w:rsid w:val="00436E62"/>
    <w:rsid w:val="00447669"/>
    <w:rsid w:val="0045684D"/>
    <w:rsid w:val="00485039"/>
    <w:rsid w:val="00503A6F"/>
    <w:rsid w:val="005B1E1D"/>
    <w:rsid w:val="005B3E0A"/>
    <w:rsid w:val="006033C4"/>
    <w:rsid w:val="00636B11"/>
    <w:rsid w:val="00680EB8"/>
    <w:rsid w:val="006B539D"/>
    <w:rsid w:val="006C4CFD"/>
    <w:rsid w:val="006E0098"/>
    <w:rsid w:val="006E2BC9"/>
    <w:rsid w:val="007465BF"/>
    <w:rsid w:val="007D5B9E"/>
    <w:rsid w:val="007E0D92"/>
    <w:rsid w:val="007F75FB"/>
    <w:rsid w:val="00802F9D"/>
    <w:rsid w:val="008133FC"/>
    <w:rsid w:val="00836008"/>
    <w:rsid w:val="00846CC4"/>
    <w:rsid w:val="008561B1"/>
    <w:rsid w:val="00871E46"/>
    <w:rsid w:val="008A4685"/>
    <w:rsid w:val="008B0C19"/>
    <w:rsid w:val="008E0BB1"/>
    <w:rsid w:val="008E5D3D"/>
    <w:rsid w:val="008E5DB7"/>
    <w:rsid w:val="00941839"/>
    <w:rsid w:val="009B0A4A"/>
    <w:rsid w:val="009B5FF1"/>
    <w:rsid w:val="009D1130"/>
    <w:rsid w:val="009D7DAC"/>
    <w:rsid w:val="009F6041"/>
    <w:rsid w:val="00A01F2B"/>
    <w:rsid w:val="00A10AEF"/>
    <w:rsid w:val="00A300F6"/>
    <w:rsid w:val="00A409C1"/>
    <w:rsid w:val="00A46AE1"/>
    <w:rsid w:val="00A62020"/>
    <w:rsid w:val="00AA3DB5"/>
    <w:rsid w:val="00B64D0C"/>
    <w:rsid w:val="00B7726E"/>
    <w:rsid w:val="00BD56E8"/>
    <w:rsid w:val="00BE3736"/>
    <w:rsid w:val="00BF2721"/>
    <w:rsid w:val="00C067DD"/>
    <w:rsid w:val="00C17FE6"/>
    <w:rsid w:val="00C45FA8"/>
    <w:rsid w:val="00C55567"/>
    <w:rsid w:val="00C63FD8"/>
    <w:rsid w:val="00CB5D57"/>
    <w:rsid w:val="00CD6FD9"/>
    <w:rsid w:val="00D0547D"/>
    <w:rsid w:val="00D20AB5"/>
    <w:rsid w:val="00D35443"/>
    <w:rsid w:val="00D41851"/>
    <w:rsid w:val="00D86603"/>
    <w:rsid w:val="00DB3395"/>
    <w:rsid w:val="00DC7DB5"/>
    <w:rsid w:val="00DD7EBA"/>
    <w:rsid w:val="00DE2B85"/>
    <w:rsid w:val="00E00089"/>
    <w:rsid w:val="00E13943"/>
    <w:rsid w:val="00E21D51"/>
    <w:rsid w:val="00E529D8"/>
    <w:rsid w:val="00E572C2"/>
    <w:rsid w:val="00E62480"/>
    <w:rsid w:val="00E7702E"/>
    <w:rsid w:val="00E93612"/>
    <w:rsid w:val="00F064B1"/>
    <w:rsid w:val="00F903AC"/>
    <w:rsid w:val="00F94D88"/>
    <w:rsid w:val="00FE1749"/>
    <w:rsid w:val="5A8D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toc 3"/>
    <w:basedOn w:val="1"/>
    <w:next w:val="1"/>
    <w:semiHidden/>
    <w:unhideWhenUsed/>
    <w:qFormat/>
    <w:uiPriority w:val="39"/>
    <w:pPr>
      <w:widowControl/>
      <w:spacing w:after="100" w:line="276" w:lineRule="auto"/>
      <w:ind w:left="440"/>
      <w:jc w:val="left"/>
    </w:pPr>
    <w:rPr>
      <w:kern w:val="0"/>
      <w:sz w:val="22"/>
    </w:rPr>
  </w:style>
  <w:style w:type="paragraph" w:styleId="4">
    <w:name w:val="Balloon Text"/>
    <w:basedOn w:val="1"/>
    <w:link w:val="16"/>
    <w:semiHidden/>
    <w:unhideWhenUsed/>
    <w:uiPriority w:val="99"/>
    <w:rPr>
      <w:sz w:val="18"/>
      <w:szCs w:val="18"/>
    </w:rPr>
  </w:style>
  <w:style w:type="paragraph" w:styleId="5">
    <w:name w:val="footer"/>
    <w:basedOn w:val="1"/>
    <w:link w:val="18"/>
    <w:unhideWhenUsed/>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qFormat/>
    <w:uiPriority w:val="99"/>
    <w:rPr>
      <w:color w:val="0000FF" w:themeColor="hyperlink"/>
      <w:u w:val="single"/>
      <w14:textFill>
        <w14:solidFill>
          <w14:schemeClr w14:val="hlink"/>
        </w14:solidFill>
      </w14:textFill>
    </w:rPr>
  </w:style>
  <w:style w:type="character" w:customStyle="1" w:styleId="14">
    <w:name w:val="标题 1 Char"/>
    <w:basedOn w:val="12"/>
    <w:link w:val="2"/>
    <w:qFormat/>
    <w:uiPriority w:val="9"/>
    <w:rPr>
      <w:b/>
      <w:bCs/>
      <w:kern w:val="44"/>
      <w:sz w:val="44"/>
      <w:szCs w:val="44"/>
    </w:rPr>
  </w:style>
  <w:style w:type="paragraph" w:customStyle="1" w:styleId="1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6">
    <w:name w:val="批注框文本 Char"/>
    <w:basedOn w:val="12"/>
    <w:link w:val="4"/>
    <w:semiHidden/>
    <w:uiPriority w:val="99"/>
    <w:rPr>
      <w:sz w:val="18"/>
      <w:szCs w:val="18"/>
    </w:rPr>
  </w:style>
  <w:style w:type="character" w:customStyle="1" w:styleId="17">
    <w:name w:val="页眉 Char"/>
    <w:basedOn w:val="12"/>
    <w:link w:val="6"/>
    <w:uiPriority w:val="99"/>
    <w:rPr>
      <w:sz w:val="18"/>
      <w:szCs w:val="18"/>
    </w:rPr>
  </w:style>
  <w:style w:type="character" w:customStyle="1" w:styleId="18">
    <w:name w:val="页脚 Char"/>
    <w:basedOn w:val="12"/>
    <w:link w:val="5"/>
    <w:uiPriority w:val="99"/>
    <w:rPr>
      <w:sz w:val="18"/>
      <w:szCs w:val="18"/>
    </w:rPr>
  </w:style>
  <w:style w:type="paragraph" w:styleId="19">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4A45BF-EBBC-4EFB-9DB2-67344EF46B6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417</Words>
  <Characters>2377</Characters>
  <Lines>19</Lines>
  <Paragraphs>5</Paragraphs>
  <TotalTime>0</TotalTime>
  <ScaleCrop>false</ScaleCrop>
  <LinksUpToDate>false</LinksUpToDate>
  <CharactersWithSpaces>2789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2020-09-16T06:19:00Z</dcterms:created>
  <dc:creator>AutoBVT</dc:creator>
  <cp:lastModifiedBy>Administrator</cp:lastModifiedBy>
  <dcterms:modified xsi:type="dcterms:W3CDTF">2021-09-15T04:06:35Z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E78B874B21BE4BFEA907FA2876388467</vt:lpwstr>
  </property>
</Properties>
</file>