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3E9D6">
      <w:pPr>
        <w:jc w:val="center"/>
        <w:rPr>
          <w:rFonts w:ascii="Times New Roman" w:hAnsi="Times New Roman" w:eastAsia="黑体" w:cs="Times New Roman"/>
          <w:bCs/>
          <w:sz w:val="32"/>
          <w:szCs w:val="32"/>
        </w:rPr>
      </w:pPr>
      <w:r>
        <w:rPr>
          <w:rFonts w:ascii="Times New Roman" w:hAnsi="Times New Roman" w:eastAsia="黑体" w:cs="Times New Roman"/>
          <w:bCs/>
          <w:sz w:val="32"/>
          <w:szCs w:val="32"/>
        </w:rPr>
        <w:t>《基础日语4》本科课程教学大纲</w:t>
      </w:r>
    </w:p>
    <w:p w14:paraId="36DE9FF1">
      <w:pPr>
        <w:pStyle w:val="17"/>
        <w:spacing w:before="326" w:beforeLines="100" w:line="360" w:lineRule="auto"/>
        <w:rPr>
          <w:rFonts w:ascii="Times New Roman" w:hAnsi="Times New Roman" w:cs="Times New Roman"/>
        </w:rPr>
      </w:pPr>
      <w:r>
        <w:rPr>
          <w:rFonts w:ascii="Times New Roman" w:hAnsi="Times New Roman" w:cs="Times New Roman"/>
        </w:rPr>
        <w:t>一、课程基本信息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465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5AABB4B">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1DFDE73">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（中文）基础日语4</w:t>
            </w:r>
          </w:p>
        </w:tc>
      </w:tr>
      <w:tr w14:paraId="460F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C20C1FD">
            <w:pPr>
              <w:widowControl w:val="0"/>
              <w:jc w:val="center"/>
              <w:rPr>
                <w:rFonts w:ascii="Times New Roman" w:hAnsi="Times New Roman" w:eastAsia="黑体" w:cs="Times New Roman"/>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FBECEC5">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（英文）Comprehensive Japanese(4)</w:t>
            </w:r>
          </w:p>
        </w:tc>
      </w:tr>
      <w:tr w14:paraId="4C5E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BDD7DDD">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课程代码</w:t>
            </w:r>
          </w:p>
        </w:tc>
        <w:tc>
          <w:tcPr>
            <w:tcW w:w="2260" w:type="dxa"/>
            <w:vAlign w:val="center"/>
          </w:tcPr>
          <w:p w14:paraId="0B326EB1">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2140023</w:t>
            </w:r>
          </w:p>
        </w:tc>
        <w:tc>
          <w:tcPr>
            <w:tcW w:w="2126" w:type="dxa"/>
            <w:gridSpan w:val="2"/>
            <w:vAlign w:val="center"/>
          </w:tcPr>
          <w:p w14:paraId="28CD22E4">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0C04D35">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w:t>
            </w:r>
          </w:p>
        </w:tc>
      </w:tr>
      <w:tr w14:paraId="0F6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D41BF9C">
            <w:pPr>
              <w:widowControl w:val="0"/>
              <w:jc w:val="center"/>
              <w:rPr>
                <w:rFonts w:ascii="Times New Roman" w:hAnsi="Times New Roman" w:cs="Times New Roman"/>
                <w:sz w:val="21"/>
                <w:szCs w:val="18"/>
              </w:rPr>
            </w:pPr>
            <w:r>
              <w:rPr>
                <w:rFonts w:ascii="Times New Roman" w:hAnsi="Times New Roman" w:eastAsia="黑体" w:cs="Times New Roman"/>
                <w:color w:val="000000" w:themeColor="text1"/>
                <w:sz w:val="21"/>
                <w:szCs w:val="18"/>
                <w14:textFill>
                  <w14:solidFill>
                    <w14:schemeClr w14:val="tx1"/>
                  </w14:solidFill>
                </w14:textFill>
              </w:rPr>
              <w:t>课程学时</w:t>
            </w:r>
            <w:r>
              <w:rPr>
                <w:rFonts w:ascii="Times New Roman" w:hAnsi="Times New Roman" w:cs="Times New Roman"/>
                <w:sz w:val="21"/>
                <w:szCs w:val="18"/>
              </w:rPr>
              <w:t xml:space="preserve"> </w:t>
            </w:r>
          </w:p>
        </w:tc>
        <w:tc>
          <w:tcPr>
            <w:tcW w:w="2260" w:type="dxa"/>
            <w:vAlign w:val="center"/>
          </w:tcPr>
          <w:p w14:paraId="0E60ADB3">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160</w:t>
            </w:r>
          </w:p>
        </w:tc>
        <w:tc>
          <w:tcPr>
            <w:tcW w:w="1272" w:type="dxa"/>
            <w:vAlign w:val="center"/>
          </w:tcPr>
          <w:p w14:paraId="2DF46067">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理论学时</w:t>
            </w:r>
          </w:p>
        </w:tc>
        <w:tc>
          <w:tcPr>
            <w:tcW w:w="854" w:type="dxa"/>
            <w:vAlign w:val="center"/>
          </w:tcPr>
          <w:p w14:paraId="132327FC">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160</w:t>
            </w:r>
          </w:p>
        </w:tc>
        <w:tc>
          <w:tcPr>
            <w:tcW w:w="1413" w:type="dxa"/>
            <w:gridSpan w:val="2"/>
            <w:vAlign w:val="center"/>
          </w:tcPr>
          <w:p w14:paraId="46C1BCD9">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176A38E">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r>
      <w:tr w14:paraId="71D2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343E4E">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开课学院</w:t>
            </w:r>
          </w:p>
        </w:tc>
        <w:tc>
          <w:tcPr>
            <w:tcW w:w="2260" w:type="dxa"/>
            <w:vAlign w:val="center"/>
          </w:tcPr>
          <w:p w14:paraId="65472DB2">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国际教育学院</w:t>
            </w:r>
          </w:p>
        </w:tc>
        <w:tc>
          <w:tcPr>
            <w:tcW w:w="2126" w:type="dxa"/>
            <w:gridSpan w:val="2"/>
            <w:vAlign w:val="center"/>
          </w:tcPr>
          <w:p w14:paraId="76B0ED23">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适用专业与年级</w:t>
            </w:r>
          </w:p>
        </w:tc>
        <w:tc>
          <w:tcPr>
            <w:tcW w:w="2199" w:type="dxa"/>
            <w:gridSpan w:val="3"/>
            <w:tcBorders>
              <w:right w:val="single" w:color="auto" w:sz="12" w:space="0"/>
            </w:tcBorders>
            <w:vAlign w:val="center"/>
          </w:tcPr>
          <w:p w14:paraId="7C8651FF">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日语专业本科</w:t>
            </w:r>
          </w:p>
          <w:p w14:paraId="48048E42">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hint="eastAsia" w:ascii="Times New Roman" w:hAnsi="Times New Roman" w:eastAsia="黑体" w:cs="Times New Roman"/>
                <w:color w:val="000000" w:themeColor="text1"/>
                <w:sz w:val="21"/>
                <w:szCs w:val="21"/>
                <w14:textFill>
                  <w14:solidFill>
                    <w14:schemeClr w14:val="tx1"/>
                  </w14:solidFill>
                </w14:textFill>
              </w:rPr>
              <w:t>第4学期</w:t>
            </w:r>
          </w:p>
        </w:tc>
      </w:tr>
      <w:tr w14:paraId="43BF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FA3AB0B">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课程类别与性质</w:t>
            </w:r>
          </w:p>
        </w:tc>
        <w:tc>
          <w:tcPr>
            <w:tcW w:w="2260" w:type="dxa"/>
            <w:vAlign w:val="center"/>
          </w:tcPr>
          <w:p w14:paraId="34E59672">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院级必修课</w:t>
            </w:r>
          </w:p>
        </w:tc>
        <w:tc>
          <w:tcPr>
            <w:tcW w:w="2126" w:type="dxa"/>
            <w:gridSpan w:val="2"/>
            <w:vAlign w:val="center"/>
          </w:tcPr>
          <w:p w14:paraId="66C957E5">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53DED24">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考试</w:t>
            </w:r>
          </w:p>
        </w:tc>
      </w:tr>
      <w:tr w14:paraId="4214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214DC15">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选用教材</w:t>
            </w:r>
          </w:p>
        </w:tc>
        <w:tc>
          <w:tcPr>
            <w:tcW w:w="4386" w:type="dxa"/>
            <w:gridSpan w:val="3"/>
            <w:vAlign w:val="center"/>
          </w:tcPr>
          <w:p w14:paraId="154BE39A">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0"/>
                <w:szCs w:val="20"/>
                <w14:textFill>
                  <w14:solidFill>
                    <w14:schemeClr w14:val="tx1"/>
                  </w14:solidFill>
                </w14:textFill>
              </w:rPr>
              <w:t>新编日语第四册（修订本）；周平，陈小芬编著；上海外语教育出版社</w:t>
            </w:r>
          </w:p>
        </w:tc>
        <w:tc>
          <w:tcPr>
            <w:tcW w:w="1413" w:type="dxa"/>
            <w:gridSpan w:val="2"/>
            <w:vAlign w:val="center"/>
          </w:tcPr>
          <w:p w14:paraId="1B6759D9">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是否为</w:t>
            </w:r>
          </w:p>
          <w:p w14:paraId="66EE9792">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A39AFA7">
            <w:pPr>
              <w:widowControl w:val="0"/>
              <w:ind w:left="120" w:leftChars="5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否</w:t>
            </w:r>
          </w:p>
        </w:tc>
      </w:tr>
      <w:tr w14:paraId="3166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72FA1ED">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963B6BE">
            <w:pPr>
              <w:pStyle w:val="15"/>
            </w:pPr>
            <w:r>
              <w:t>基础日语3</w:t>
            </w:r>
            <w:r>
              <w:rPr>
                <w:rFonts w:hint="eastAsia"/>
              </w:rPr>
              <w:t xml:space="preserve"> 2140022 (10)</w:t>
            </w:r>
          </w:p>
        </w:tc>
      </w:tr>
      <w:tr w14:paraId="69C5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4814DA1F">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300B05A">
            <w:pPr>
              <w:pStyle w:val="15"/>
            </w:pPr>
            <w:r>
              <w:t>本课程的教学对象为日语系本科专业二年级第四学期的学生。其主要目的是帮助学生巩固基础日语（1）、（2）、（3）的相关知识，为三年级日语综合教程（5）以及高级日语课程的学习打下坚实的基础。本课程听说与读写并重，听说训练主要采用情景教学法，按照教材提供的不同主题，设定动作和说话场面，使学生通过情景和形象进一步培养直接用外语思维的能力。读写训练注重多读多写，要求学生朗读流利教材本文、会话文及应用文，理解正确文章意思，能用所学单词与语法知识进行翻译与写作，书面表达通顺。</w:t>
            </w:r>
          </w:p>
          <w:p w14:paraId="2C7A4569">
            <w:pPr>
              <w:pStyle w:val="15"/>
            </w:pPr>
            <w:r>
              <w:t>本课程根据教学内容的题材主要分为四个单元，分别为日本文化（第1—5课）、日本社会（第6—10课）、日语学习（第11—14课）、中日友好（第15-16课）。每周教学课时为10课时。每周教学内容对应听说读写综合能力训练的要求，主要分为本文、会话、应用文、单词、词语与表达（句型语法）、功能用语、练习等版块。</w:t>
            </w:r>
          </w:p>
        </w:tc>
      </w:tr>
      <w:tr w14:paraId="1E5A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5EFFDF14">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选课建议与学习要求</w:t>
            </w:r>
          </w:p>
        </w:tc>
        <w:tc>
          <w:tcPr>
            <w:tcW w:w="6585" w:type="dxa"/>
            <w:gridSpan w:val="6"/>
            <w:tcBorders>
              <w:bottom w:val="double" w:color="auto" w:sz="4" w:space="0"/>
              <w:right w:val="single" w:color="auto" w:sz="12" w:space="0"/>
            </w:tcBorders>
          </w:tcPr>
          <w:p w14:paraId="191DF13D">
            <w:pPr>
              <w:pStyle w:val="15"/>
            </w:pPr>
            <w:r>
              <w:t>本课程为日语专业本科二年级第四学期开设。遵守基础阶段的语言学习规律，导入科学合理的教学内容和教学方法</w:t>
            </w:r>
            <w:r>
              <w:rPr>
                <w:rFonts w:hint="eastAsia"/>
              </w:rPr>
              <w:t>，基本内容及要求为：</w:t>
            </w:r>
          </w:p>
          <w:p w14:paraId="2CBC6503">
            <w:pPr>
              <w:pStyle w:val="15"/>
            </w:pPr>
            <w:r>
              <w:t>1. 结合语篇传授日语句法结构的基本概念、基本原理等基础语言知识，注重语法体系内部相互之间的关联性。理解和掌握日语表达特点，注重结合学习语言深层的文化背景知识。</w:t>
            </w:r>
          </w:p>
          <w:p w14:paraId="527BF23D">
            <w:pPr>
              <w:pStyle w:val="15"/>
            </w:pPr>
            <w:r>
              <w:t>2. 以语篇为中心，以课文、篇章为主线。使用多媒体教学，在语法讲解中，注重对语境的把握和理解，引导学生通过对所表达内容的思考，掌握语言的使用。</w:t>
            </w:r>
          </w:p>
          <w:p w14:paraId="7808F94E">
            <w:pPr>
              <w:pStyle w:val="15"/>
            </w:pPr>
            <w:r>
              <w:t>3. 注重课堂教学中的互动效应。从注重学生的学习过程出发，采用分组讨论，教学内容和教学方法力求体现出为学生提供展开创造性学习活动的机会和情境。</w:t>
            </w:r>
          </w:p>
          <w:p w14:paraId="0B511BCD">
            <w:pPr>
              <w:pStyle w:val="15"/>
            </w:pPr>
            <w:r>
              <w:t>4. 注重知识向能力的转化，在实践中培养语言交际能力。注重课堂内外的联动，注重第二课堂的延伸，为学生提供实际使用语言和锻炼交际能力的环境和条件。</w:t>
            </w:r>
          </w:p>
          <w:p w14:paraId="41A441B1">
            <w:pPr>
              <w:pStyle w:val="15"/>
            </w:pPr>
            <w:r>
              <w:t>本课程采用的教学媒体主要有：文字教材、课件。课件通过泛雅平台上传，提供给学生。</w:t>
            </w:r>
          </w:p>
          <w:p w14:paraId="5579024F">
            <w:pPr>
              <w:pStyle w:val="15"/>
            </w:pPr>
            <w:r>
              <w:t>对学生的辅导，主要采用自习辅导、当面答疑、微信、学习通和 E-MAIL 等形式。</w:t>
            </w:r>
          </w:p>
        </w:tc>
      </w:tr>
      <w:tr w14:paraId="329C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0F8D6C99">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F8BEB4B">
            <w:pPr>
              <w:widowControl w:val="0"/>
              <w:jc w:val="right"/>
              <w:rPr>
                <w:rFonts w:ascii="Times New Roman" w:hAnsi="Times New Roman" w:eastAsia="黑体" w:cs="Times New Roman"/>
                <w:color w:val="000000" w:themeColor="text1"/>
                <w:sz w:val="21"/>
                <w:szCs w:val="21"/>
                <w14:textFill>
                  <w14:solidFill>
                    <w14:schemeClr w14:val="tx1"/>
                  </w14:solidFill>
                </w14:textFill>
              </w:rPr>
            </w:pPr>
            <w:r>
              <w:rPr>
                <w:rFonts w:hint="eastAsia" w:ascii="Times New Roman" w:hAnsi="Times New Roman" w:cs="Times New Roman"/>
                <w:sz w:val="21"/>
                <w:szCs w:val="21"/>
                <w:lang w:eastAsia="zh-CN"/>
              </w:rPr>
              <w:drawing>
                <wp:inline distT="0" distB="0" distL="114300" distR="114300">
                  <wp:extent cx="579120" cy="303530"/>
                  <wp:effectExtent l="0" t="0" r="11430" b="1270"/>
                  <wp:docPr id="1" name="图片 1" descr="张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凯"/>
                          <pic:cNvPicPr>
                            <a:picLocks noChangeAspect="1"/>
                          </pic:cNvPicPr>
                        </pic:nvPicPr>
                        <pic:blipFill>
                          <a:blip r:embed="rId5"/>
                          <a:stretch>
                            <a:fillRect/>
                          </a:stretch>
                        </pic:blipFill>
                        <pic:spPr>
                          <a:xfrm>
                            <a:off x="0" y="0"/>
                            <a:ext cx="579120" cy="303530"/>
                          </a:xfrm>
                          <a:prstGeom prst="rect">
                            <a:avLst/>
                          </a:prstGeom>
                        </pic:spPr>
                      </pic:pic>
                    </a:graphicData>
                  </a:graphic>
                </wp:inline>
              </w:drawing>
            </w:r>
            <w:r>
              <w:rPr>
                <w:rFonts w:ascii="Times New Roman" w:hAnsi="Times New Roman" w:cs="Times New Roman"/>
                <w:sz w:val="21"/>
                <w:szCs w:val="21"/>
              </w:rPr>
              <w:t>（签名）</w:t>
            </w:r>
          </w:p>
        </w:tc>
        <w:tc>
          <w:tcPr>
            <w:tcW w:w="1425" w:type="dxa"/>
            <w:gridSpan w:val="2"/>
            <w:tcBorders>
              <w:top w:val="double" w:color="auto" w:sz="4" w:space="0"/>
            </w:tcBorders>
            <w:vAlign w:val="center"/>
          </w:tcPr>
          <w:p w14:paraId="75CE818C">
            <w:pPr>
              <w:widowControl w:val="0"/>
              <w:jc w:val="center"/>
              <w:rPr>
                <w:rFonts w:ascii="Times New Roman" w:hAnsi="Times New Roman" w:cs="Times New Roman"/>
                <w:sz w:val="21"/>
                <w:szCs w:val="21"/>
              </w:rPr>
            </w:pPr>
            <w:r>
              <w:rPr>
                <w:rFonts w:ascii="Times New Roman" w:hAnsi="Times New Roman" w:eastAsia="黑体" w:cs="Times New Roman"/>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E4CC7E1">
            <w:pPr>
              <w:widowControl w:val="0"/>
              <w:jc w:val="center"/>
              <w:rPr>
                <w:rFonts w:ascii="Times New Roman" w:hAnsi="Times New Roman" w:cs="Times New Roman"/>
                <w:color w:val="000000"/>
                <w:sz w:val="21"/>
                <w:szCs w:val="21"/>
              </w:rPr>
            </w:pPr>
            <w:r>
              <w:rPr>
                <w:rFonts w:hint="eastAsia" w:ascii="黑体" w:hAnsi="黑体" w:eastAsia="黑体"/>
                <w:color w:val="000000"/>
                <w:sz w:val="21"/>
                <w:szCs w:val="21"/>
              </w:rPr>
              <w:t>2024.1.20</w:t>
            </w:r>
          </w:p>
        </w:tc>
      </w:tr>
      <w:tr w14:paraId="7015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443788ED">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专业负责人</w:t>
            </w:r>
          </w:p>
        </w:tc>
        <w:tc>
          <w:tcPr>
            <w:tcW w:w="3532" w:type="dxa"/>
            <w:gridSpan w:val="2"/>
            <w:vAlign w:val="center"/>
          </w:tcPr>
          <w:p w14:paraId="218CB202">
            <w:pPr>
              <w:widowControl w:val="0"/>
              <w:jc w:val="right"/>
              <w:rPr>
                <w:rFonts w:ascii="Times New Roman" w:hAnsi="Times New Roman" w:eastAsia="黑体" w:cs="Times New Roman"/>
                <w:color w:val="000000" w:themeColor="text1"/>
                <w:sz w:val="21"/>
                <w:szCs w:val="21"/>
                <w14:textFill>
                  <w14:solidFill>
                    <w14:schemeClr w14:val="tx1"/>
                  </w14:solidFill>
                </w14:textFill>
              </w:rPr>
            </w:pPr>
            <w:r>
              <w:rPr>
                <w:rFonts w:ascii="黑体" w:hAnsi="黑体" w:eastAsia="黑体"/>
                <w:sz w:val="21"/>
                <w:szCs w:val="21"/>
              </w:rPr>
              <w:pict>
                <v:shape id="_x0000_i1025" o:spt="75" type="#_x0000_t75" style="height:22pt;width:53pt;" filled="f" o:preferrelative="t" stroked="f" coordsize="21600,21600">
                  <v:path/>
                  <v:fill on="f" focussize="0,0"/>
                  <v:stroke on="f" joinstyle="miter"/>
                  <v:imagedata r:id="rId6" o:title=""/>
                  <o:lock v:ext="edit" aspectratio="t"/>
                  <w10:wrap type="none"/>
                  <w10:anchorlock/>
                </v:shape>
              </w:pict>
            </w:r>
            <w:r>
              <w:rPr>
                <w:rFonts w:hint="eastAsia" w:ascii="黑体" w:hAnsi="黑体" w:eastAsia="黑体"/>
                <w:sz w:val="21"/>
                <w:szCs w:val="21"/>
              </w:rPr>
              <w:t>（签名）</w:t>
            </w:r>
          </w:p>
        </w:tc>
        <w:tc>
          <w:tcPr>
            <w:tcW w:w="1425" w:type="dxa"/>
            <w:gridSpan w:val="2"/>
            <w:vAlign w:val="center"/>
          </w:tcPr>
          <w:p w14:paraId="2D95BC43">
            <w:pPr>
              <w:widowControl w:val="0"/>
              <w:jc w:val="center"/>
              <w:rPr>
                <w:rFonts w:ascii="Times New Roman" w:hAnsi="Times New Roman" w:cs="Times New Roman"/>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4641F65">
            <w:pPr>
              <w:widowControl w:val="0"/>
              <w:jc w:val="center"/>
              <w:rPr>
                <w:rFonts w:ascii="Times New Roman" w:hAnsi="Times New Roman" w:cs="Times New Roman"/>
                <w:color w:val="000000"/>
                <w:sz w:val="21"/>
                <w:szCs w:val="21"/>
              </w:rPr>
            </w:pPr>
            <w:r>
              <w:rPr>
                <w:rFonts w:hint="eastAsia" w:ascii="黑体" w:hAnsi="黑体" w:eastAsia="黑体"/>
                <w:color w:val="000000"/>
                <w:sz w:val="21"/>
                <w:szCs w:val="21"/>
              </w:rPr>
              <w:t>2024.2.20</w:t>
            </w:r>
          </w:p>
        </w:tc>
      </w:tr>
      <w:tr w14:paraId="5011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AC5AF7B">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CE9EF28">
            <w:pPr>
              <w:widowControl w:val="0"/>
              <w:jc w:val="right"/>
              <w:rPr>
                <w:rFonts w:ascii="Times New Roman" w:hAnsi="Times New Roman" w:eastAsia="黑体" w:cs="Times New Roman"/>
                <w:color w:val="000000" w:themeColor="text1"/>
                <w:sz w:val="21"/>
                <w:szCs w:val="21"/>
                <w14:textFill>
                  <w14:solidFill>
                    <w14:schemeClr w14:val="tx1"/>
                  </w14:solidFill>
                </w14:textFill>
              </w:rPr>
            </w:pPr>
            <w:r>
              <w:rPr>
                <w:rFonts w:ascii="黑体" w:hAnsi="黑体" w:eastAsia="黑体"/>
                <w:sz w:val="21"/>
                <w:szCs w:val="21"/>
              </w:rPr>
              <w:pict>
                <v:shape id="_x0000_i1026" o:spt="75" type="#_x0000_t75" style="height:19pt;width:50pt;" filled="f" o:preferrelative="t" stroked="f" coordsize="21600,21600">
                  <v:path/>
                  <v:fill on="f" focussize="0,0"/>
                  <v:stroke on="f" joinstyle="miter"/>
                  <v:imagedata r:id="rId7" o:title=""/>
                  <o:lock v:ext="edit" aspectratio="t"/>
                  <w10:wrap type="none"/>
                  <w10:anchorlock/>
                </v:shape>
              </w:pict>
            </w:r>
            <w:r>
              <w:rPr>
                <w:rFonts w:hint="eastAsia" w:ascii="黑体" w:hAnsi="黑体" w:eastAsia="黑体"/>
                <w:sz w:val="21"/>
                <w:szCs w:val="21"/>
              </w:rPr>
              <w:t>（签名）</w:t>
            </w:r>
          </w:p>
        </w:tc>
        <w:tc>
          <w:tcPr>
            <w:tcW w:w="1425" w:type="dxa"/>
            <w:gridSpan w:val="2"/>
            <w:tcBorders>
              <w:bottom w:val="single" w:color="auto" w:sz="12" w:space="0"/>
            </w:tcBorders>
            <w:vAlign w:val="center"/>
          </w:tcPr>
          <w:p w14:paraId="0588938C">
            <w:pPr>
              <w:widowControl w:val="0"/>
              <w:jc w:val="center"/>
              <w:rPr>
                <w:rFonts w:ascii="Times New Roman" w:hAnsi="Times New Roman" w:cs="Times New Roman"/>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391164F">
            <w:pPr>
              <w:widowControl w:val="0"/>
              <w:jc w:val="center"/>
              <w:rPr>
                <w:rFonts w:ascii="Times New Roman" w:hAnsi="Times New Roman" w:cs="Times New Roman"/>
                <w:color w:val="000000"/>
                <w:sz w:val="21"/>
                <w:szCs w:val="21"/>
              </w:rPr>
            </w:pPr>
            <w:r>
              <w:rPr>
                <w:rFonts w:hint="eastAsia" w:ascii="黑体" w:hAnsi="黑体" w:eastAsia="黑体"/>
                <w:color w:val="000000"/>
                <w:sz w:val="21"/>
                <w:szCs w:val="21"/>
              </w:rPr>
              <w:t>2024.2.20</w:t>
            </w:r>
          </w:p>
        </w:tc>
      </w:tr>
    </w:tbl>
    <w:p w14:paraId="523C2BFA">
      <w:pPr>
        <w:spacing w:line="100" w:lineRule="exact"/>
        <w:rPr>
          <w:rFonts w:ascii="Times New Roman" w:hAnsi="Times New Roman" w:eastAsia="黑体" w:cs="Times New Roman"/>
        </w:rPr>
      </w:pPr>
      <w:r>
        <w:rPr>
          <w:rFonts w:ascii="Times New Roman" w:hAnsi="Times New Roman" w:cs="Times New Roman"/>
        </w:rPr>
        <w:br w:type="page"/>
      </w:r>
      <w:bookmarkStart w:id="4" w:name="_GoBack"/>
      <w:bookmarkEnd w:id="4"/>
    </w:p>
    <w:p w14:paraId="696FE8EA">
      <w:pPr>
        <w:pStyle w:val="17"/>
        <w:spacing w:before="326" w:beforeLines="100" w:line="360" w:lineRule="auto"/>
        <w:rPr>
          <w:rFonts w:ascii="Times New Roman" w:hAnsi="Times New Roman" w:cs="Times New Roman"/>
        </w:rPr>
      </w:pPr>
      <w:r>
        <w:rPr>
          <w:rFonts w:ascii="Times New Roman" w:hAnsi="Times New Roman" w:cs="Times New Roman"/>
        </w:rPr>
        <w:t>二、课程目标与毕业要求</w:t>
      </w:r>
    </w:p>
    <w:p w14:paraId="054743B6">
      <w:pPr>
        <w:pStyle w:val="18"/>
        <w:spacing w:before="81" w:after="163"/>
        <w:rPr>
          <w:rFonts w:cs="Times New Roman"/>
        </w:rPr>
      </w:pPr>
      <w:r>
        <w:rPr>
          <w:rFonts w:cs="Times New Roman"/>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7E76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9FD4368">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类型</w:t>
            </w:r>
          </w:p>
        </w:tc>
        <w:tc>
          <w:tcPr>
            <w:tcW w:w="764" w:type="dxa"/>
            <w:shd w:val="clear" w:color="auto" w:fill="auto"/>
            <w:vAlign w:val="center"/>
          </w:tcPr>
          <w:p w14:paraId="240FBFA7">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序号</w:t>
            </w:r>
          </w:p>
        </w:tc>
        <w:tc>
          <w:tcPr>
            <w:tcW w:w="6306" w:type="dxa"/>
            <w:vAlign w:val="center"/>
          </w:tcPr>
          <w:p w14:paraId="0B383F77">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内容</w:t>
            </w:r>
          </w:p>
        </w:tc>
      </w:tr>
      <w:tr w14:paraId="30CFC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3FC31D9">
            <w:pPr>
              <w:snapToGrid w:val="0"/>
              <w:jc w:val="center"/>
              <w:rPr>
                <w:rFonts w:ascii="Times New Roman" w:hAnsi="Times New Roman" w:cs="Times New Roman"/>
              </w:rPr>
            </w:pPr>
            <w:r>
              <w:rPr>
                <w:rFonts w:ascii="Times New Roman" w:hAnsi="Times New Roman" w:eastAsia="黑体" w:cs="Times New Roman"/>
                <w:bCs/>
                <w:color w:val="000000"/>
                <w:sz w:val="21"/>
                <w:szCs w:val="18"/>
              </w:rPr>
              <w:t>知识目标</w:t>
            </w:r>
          </w:p>
        </w:tc>
        <w:tc>
          <w:tcPr>
            <w:tcW w:w="764" w:type="dxa"/>
            <w:shd w:val="clear" w:color="auto" w:fill="auto"/>
            <w:vAlign w:val="center"/>
          </w:tcPr>
          <w:p w14:paraId="0D113231">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1</w:t>
            </w:r>
          </w:p>
        </w:tc>
        <w:tc>
          <w:tcPr>
            <w:tcW w:w="6306" w:type="dxa"/>
            <w:vAlign w:val="center"/>
          </w:tcPr>
          <w:p w14:paraId="67BF4BE7">
            <w:pPr>
              <w:pStyle w:val="15"/>
            </w:pPr>
            <w:r>
              <w:t>能明确课文主题，利用网络等资源搜集、获取学习资料，了解课文相关的日本文化常识。能在课前制定学习计划，并实施学习计划。完成每课内容的学习任务后，反思学习计划、持续改进，达到学习目标。</w:t>
            </w:r>
          </w:p>
        </w:tc>
      </w:tr>
      <w:tr w14:paraId="7A655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F54B79A">
            <w:pPr>
              <w:pStyle w:val="15"/>
            </w:pPr>
          </w:p>
        </w:tc>
        <w:tc>
          <w:tcPr>
            <w:tcW w:w="764" w:type="dxa"/>
            <w:shd w:val="clear" w:color="auto" w:fill="auto"/>
            <w:vAlign w:val="center"/>
          </w:tcPr>
          <w:p w14:paraId="60145B38">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2</w:t>
            </w:r>
          </w:p>
        </w:tc>
        <w:tc>
          <w:tcPr>
            <w:tcW w:w="6306" w:type="dxa"/>
            <w:vAlign w:val="center"/>
          </w:tcPr>
          <w:p w14:paraId="07FC701A">
            <w:pPr>
              <w:pStyle w:val="15"/>
            </w:pPr>
            <w:r>
              <w:t>能听懂正常语速下的课文录音，根据文章及会话内容理解说话者的意图，能听懂语段内容，并提取信息和观点，能对课文内容进行简单的评价，形成自己的观点。</w:t>
            </w:r>
          </w:p>
        </w:tc>
      </w:tr>
      <w:tr w14:paraId="27FC2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D269AD4">
            <w:pPr>
              <w:snapToGrid w:val="0"/>
              <w:jc w:val="center"/>
              <w:rPr>
                <w:rFonts w:ascii="Times New Roman" w:hAnsi="Times New Roman" w:cs="Times New Roman"/>
              </w:rPr>
            </w:pPr>
            <w:r>
              <w:rPr>
                <w:rFonts w:ascii="Times New Roman" w:hAnsi="Times New Roman" w:eastAsia="黑体" w:cs="Times New Roman"/>
                <w:bCs/>
                <w:color w:val="000000"/>
                <w:sz w:val="21"/>
                <w:szCs w:val="18"/>
              </w:rPr>
              <w:t>技能目标</w:t>
            </w:r>
          </w:p>
        </w:tc>
        <w:tc>
          <w:tcPr>
            <w:tcW w:w="764" w:type="dxa"/>
            <w:shd w:val="clear" w:color="auto" w:fill="auto"/>
            <w:vAlign w:val="center"/>
          </w:tcPr>
          <w:p w14:paraId="6D0E7414">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3</w:t>
            </w:r>
          </w:p>
        </w:tc>
        <w:tc>
          <w:tcPr>
            <w:tcW w:w="6306" w:type="dxa"/>
            <w:vAlign w:val="center"/>
          </w:tcPr>
          <w:p w14:paraId="5E8824E4">
            <w:pPr>
              <w:pStyle w:val="15"/>
            </w:pPr>
            <w:r>
              <w:t>掌握课文短文及会话的正确发音，能跟录音进行朗读或二人一组进行对话。能够活学活用课文的内容和语句，围绕课文主题用日语进行交流与表达。</w:t>
            </w:r>
          </w:p>
        </w:tc>
      </w:tr>
      <w:tr w14:paraId="5BD99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EAF99C3">
            <w:pPr>
              <w:pStyle w:val="15"/>
            </w:pPr>
          </w:p>
        </w:tc>
        <w:tc>
          <w:tcPr>
            <w:tcW w:w="764" w:type="dxa"/>
            <w:shd w:val="clear" w:color="auto" w:fill="auto"/>
            <w:vAlign w:val="center"/>
          </w:tcPr>
          <w:p w14:paraId="01AA7495">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4</w:t>
            </w:r>
          </w:p>
        </w:tc>
        <w:tc>
          <w:tcPr>
            <w:tcW w:w="6306" w:type="dxa"/>
            <w:vAlign w:val="center"/>
          </w:tcPr>
          <w:p w14:paraId="03472816">
            <w:pPr>
              <w:pStyle w:val="15"/>
            </w:pPr>
            <w:r>
              <w:t>掌握各项日语阅读技能，包括细读本文和会话，泛读课文应用文等，提高分析归纳、推理检验等逻辑思维能力。对课文涉及的话题有自己的想法，能对文章观点进行简单的评价。</w:t>
            </w:r>
          </w:p>
        </w:tc>
      </w:tr>
      <w:tr w14:paraId="6DC5D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449EDEB6">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素养目标</w:t>
            </w:r>
          </w:p>
          <w:p w14:paraId="1DD2BE64">
            <w:pPr>
              <w:snapToGrid w:val="0"/>
              <w:jc w:val="center"/>
              <w:rPr>
                <w:rFonts w:ascii="Times New Roman" w:hAnsi="Times New Roman" w:cs="Times New Roman"/>
              </w:rPr>
            </w:pPr>
            <w:r>
              <w:rPr>
                <w:rFonts w:ascii="Times New Roman" w:hAnsi="Times New Roman" w:eastAsia="黑体" w:cs="Times New Roman"/>
                <w:bCs/>
                <w:color w:val="000000"/>
                <w:sz w:val="21"/>
                <w:szCs w:val="18"/>
              </w:rPr>
              <w:t>(含课程思政目标)</w:t>
            </w:r>
          </w:p>
        </w:tc>
        <w:tc>
          <w:tcPr>
            <w:tcW w:w="764" w:type="dxa"/>
            <w:shd w:val="clear" w:color="auto" w:fill="auto"/>
            <w:vAlign w:val="center"/>
          </w:tcPr>
          <w:p w14:paraId="38DEC6BD">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5</w:t>
            </w:r>
          </w:p>
        </w:tc>
        <w:tc>
          <w:tcPr>
            <w:tcW w:w="6306" w:type="dxa"/>
            <w:vAlign w:val="center"/>
          </w:tcPr>
          <w:p w14:paraId="557B1447">
            <w:pPr>
              <w:pStyle w:val="15"/>
            </w:pPr>
            <w:r>
              <w:t>通过课文的学习，了解日本经济、社会和文化。要求学生具有具有跨文化理解能力，跨文化交际能力。</w:t>
            </w:r>
          </w:p>
        </w:tc>
      </w:tr>
    </w:tbl>
    <w:p w14:paraId="5AB88673">
      <w:pPr>
        <w:pStyle w:val="18"/>
        <w:spacing w:before="163" w:beforeLines="50" w:after="163"/>
        <w:rPr>
          <w:rFonts w:cs="Times New Roman"/>
        </w:rPr>
      </w:pPr>
      <w:r>
        <w:rPr>
          <w:rFonts w:cs="Times New Roman"/>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4E2EA03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40ABF6B">
            <w:pPr>
              <w:pStyle w:val="15"/>
            </w:pPr>
            <w:r>
              <w:rPr>
                <w:b/>
              </w:rPr>
              <w:t>LO1品德修养</w:t>
            </w:r>
            <w:r>
              <w:t>：拥护</w:t>
            </w:r>
            <w:r>
              <w:rPr>
                <w:rFonts w:hint="eastAsia"/>
              </w:rPr>
              <w:t>中国共产</w:t>
            </w:r>
            <w:r>
              <w:t>党的领导，坚定理想信念，自觉涵养和积极弘扬社会主义核心价值观，增强政治认同、厚植家国情怀、遵守法律法规、传承雷锋精神，践行</w:t>
            </w:r>
            <w:r>
              <w:rPr>
                <w:rFonts w:hint="eastAsia"/>
              </w:rPr>
              <w:t>“感恩、回报、爱心、责任”</w:t>
            </w:r>
            <w:r>
              <w:t>八字校训，积极服务他人、服务社会、诚信尽责、爱岗敬业。</w:t>
            </w:r>
          </w:p>
          <w:p w14:paraId="5B5E5D50">
            <w:pPr>
              <w:pStyle w:val="15"/>
            </w:pPr>
            <w:r>
              <w:rPr>
                <w:rFonts w:hint="eastAsia"/>
              </w:rPr>
              <w:t>⑤</w:t>
            </w:r>
            <w:r>
              <w:t>爱岗敬业，热爱所学专业，勤学多练，锤炼技能。熟悉本专业相关的法律法规，在实习实践中自觉遵守职业规范，具备职业道德操守。</w:t>
            </w:r>
          </w:p>
        </w:tc>
      </w:tr>
      <w:tr w14:paraId="69A108A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DC4B212">
            <w:pPr>
              <w:pStyle w:val="15"/>
            </w:pPr>
            <w:r>
              <w:t>LO2专业能力：</w:t>
            </w:r>
          </w:p>
          <w:p w14:paraId="2DF04BCF">
            <w:pPr>
              <w:pStyle w:val="15"/>
            </w:pPr>
            <w:r>
              <w:t>②掌握日语语言学、文学等相关知识，具备文学欣赏与文本分析能力。</w:t>
            </w:r>
          </w:p>
          <w:p w14:paraId="769913FF">
            <w:pPr>
              <w:pStyle w:val="15"/>
            </w:pPr>
            <w:r>
              <w:t>③了解日本社会、文化及中日文化差异，具有良好的跨文化交际能力。</w:t>
            </w:r>
          </w:p>
        </w:tc>
      </w:tr>
      <w:tr w14:paraId="4C7B1F6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1D51760">
            <w:pPr>
              <w:pStyle w:val="15"/>
            </w:pPr>
            <w:r>
              <w:rPr>
                <w:b/>
              </w:rPr>
              <w:t>LO4自主学习：</w:t>
            </w:r>
            <w:r>
              <w:t>能根据环境需要确定自己的学习目标，并主动地通过搜集信息、分析信息、讨论、实践、质疑、创造等方法来实现学习目标。</w:t>
            </w:r>
          </w:p>
          <w:p w14:paraId="46EEA6A0">
            <w:pPr>
              <w:pStyle w:val="15"/>
            </w:pPr>
            <w:r>
              <w:t>②能搜集、获取达到目标所需要的学习资源，实施学习计划、反思学习计划、持续改进，达到学习目标。</w:t>
            </w:r>
          </w:p>
        </w:tc>
      </w:tr>
      <w:tr w14:paraId="2990368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A7116CD">
            <w:pPr>
              <w:pStyle w:val="15"/>
            </w:pPr>
            <w:r>
              <w:rPr>
                <w:b/>
              </w:rPr>
              <w:t>LO5健康发展：</w:t>
            </w:r>
            <w:r>
              <w:t>懂得审美、热爱劳动、为人热忱、身心健康、耐挫折，具有可持续发展的能力。</w:t>
            </w:r>
          </w:p>
          <w:p w14:paraId="4F848286">
            <w:pPr>
              <w:pStyle w:val="15"/>
            </w:pPr>
            <w:r>
              <w:t>②心理健康，学习和参与心理调适各项活动，耐挫折，能承受学习和生活中的压力。</w:t>
            </w:r>
          </w:p>
        </w:tc>
      </w:tr>
    </w:tbl>
    <w:p w14:paraId="1C88CFCF">
      <w:pPr>
        <w:pStyle w:val="18"/>
        <w:spacing w:before="163" w:beforeLines="50" w:after="163"/>
        <w:rPr>
          <w:rFonts w:cs="Times New Roman"/>
        </w:rPr>
      </w:pPr>
      <w:r>
        <w:rPr>
          <w:rFonts w:cs="Times New Roman"/>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337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798E7DA">
            <w:pPr>
              <w:pStyle w:val="14"/>
              <w:rPr>
                <w:rFonts w:ascii="Times New Roman" w:hAnsi="Times New Roman" w:cs="Times New Roman"/>
                <w:szCs w:val="16"/>
              </w:rPr>
            </w:pPr>
            <w:r>
              <w:rPr>
                <w:rFonts w:ascii="Times New Roman" w:hAnsi="Times New Roman" w:cs="Times New Roman"/>
                <w:szCs w:val="18"/>
              </w:rPr>
              <w:t>毕业要求</w:t>
            </w:r>
          </w:p>
        </w:tc>
        <w:tc>
          <w:tcPr>
            <w:tcW w:w="775" w:type="dxa"/>
            <w:tcBorders>
              <w:top w:val="single" w:color="auto" w:sz="12" w:space="0"/>
              <w:left w:val="single" w:color="auto" w:sz="4" w:space="0"/>
            </w:tcBorders>
            <w:vAlign w:val="center"/>
          </w:tcPr>
          <w:p w14:paraId="5003841D">
            <w:pPr>
              <w:pStyle w:val="14"/>
              <w:rPr>
                <w:rFonts w:ascii="Times New Roman" w:hAnsi="Times New Roman" w:cs="Times New Roman"/>
                <w:szCs w:val="16"/>
              </w:rPr>
            </w:pPr>
            <w:r>
              <w:rPr>
                <w:rFonts w:ascii="Times New Roman" w:hAnsi="Times New Roman" w:cs="Times New Roman"/>
                <w:szCs w:val="16"/>
              </w:rPr>
              <w:t>指标点</w:t>
            </w:r>
          </w:p>
        </w:tc>
        <w:tc>
          <w:tcPr>
            <w:tcW w:w="775" w:type="dxa"/>
            <w:tcBorders>
              <w:top w:val="single" w:color="auto" w:sz="12" w:space="0"/>
              <w:right w:val="double" w:color="auto" w:sz="4" w:space="0"/>
            </w:tcBorders>
            <w:shd w:val="clear" w:color="auto" w:fill="auto"/>
            <w:vAlign w:val="center"/>
          </w:tcPr>
          <w:p w14:paraId="31F03849">
            <w:pPr>
              <w:pStyle w:val="14"/>
              <w:rPr>
                <w:rFonts w:ascii="Times New Roman" w:hAnsi="Times New Roman" w:cs="Times New Roman"/>
                <w:szCs w:val="16"/>
              </w:rPr>
            </w:pPr>
            <w:r>
              <w:rPr>
                <w:rFonts w:ascii="Times New Roman" w:hAnsi="Times New Roman" w:cs="Times New Roman"/>
                <w:szCs w:val="16"/>
              </w:rPr>
              <w:t>支撑度</w:t>
            </w:r>
          </w:p>
        </w:tc>
        <w:tc>
          <w:tcPr>
            <w:tcW w:w="4651" w:type="dxa"/>
            <w:tcBorders>
              <w:top w:val="single" w:color="auto" w:sz="12" w:space="0"/>
            </w:tcBorders>
            <w:vAlign w:val="center"/>
          </w:tcPr>
          <w:p w14:paraId="67AC03A3">
            <w:pPr>
              <w:pStyle w:val="14"/>
              <w:rPr>
                <w:rFonts w:ascii="Times New Roman" w:hAnsi="Times New Roman" w:cs="Times New Roman"/>
                <w:szCs w:val="16"/>
              </w:rPr>
            </w:pPr>
            <w:r>
              <w:rPr>
                <w:rFonts w:ascii="Times New Roman" w:hAnsi="Times New Roman" w:cs="Times New Roman"/>
                <w:szCs w:val="16"/>
              </w:rPr>
              <w:t>课程目标</w:t>
            </w:r>
          </w:p>
        </w:tc>
        <w:tc>
          <w:tcPr>
            <w:tcW w:w="1316" w:type="dxa"/>
            <w:tcBorders>
              <w:top w:val="single" w:color="auto" w:sz="12" w:space="0"/>
              <w:right w:val="single" w:color="auto" w:sz="12" w:space="0"/>
            </w:tcBorders>
            <w:vAlign w:val="center"/>
          </w:tcPr>
          <w:p w14:paraId="4D146A1E">
            <w:pPr>
              <w:pStyle w:val="14"/>
              <w:rPr>
                <w:rFonts w:ascii="Times New Roman" w:hAnsi="Times New Roman" w:cs="Times New Roman"/>
                <w:szCs w:val="16"/>
              </w:rPr>
            </w:pPr>
            <w:r>
              <w:rPr>
                <w:rFonts w:ascii="Times New Roman" w:hAnsi="Times New Roman" w:cs="Times New Roman"/>
                <w:szCs w:val="16"/>
              </w:rPr>
              <w:t>对指标点的贡献度</w:t>
            </w:r>
          </w:p>
        </w:tc>
      </w:tr>
      <w:tr w14:paraId="7137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0FD5444">
            <w:pPr>
              <w:pStyle w:val="15"/>
            </w:pPr>
            <w:r>
              <w:t>LO1</w:t>
            </w:r>
          </w:p>
        </w:tc>
        <w:tc>
          <w:tcPr>
            <w:tcW w:w="775" w:type="dxa"/>
            <w:tcBorders>
              <w:left w:val="single" w:color="auto" w:sz="4" w:space="0"/>
            </w:tcBorders>
            <w:vAlign w:val="center"/>
          </w:tcPr>
          <w:p w14:paraId="01967286">
            <w:pPr>
              <w:pStyle w:val="15"/>
            </w:pPr>
            <w:r>
              <w:rPr>
                <w:rFonts w:hint="eastAsia"/>
                <w:lang w:eastAsia="ja-JP"/>
              </w:rPr>
              <w:t>⑤</w:t>
            </w:r>
          </w:p>
        </w:tc>
        <w:tc>
          <w:tcPr>
            <w:tcW w:w="775" w:type="dxa"/>
            <w:tcBorders>
              <w:right w:val="double" w:color="auto" w:sz="4" w:space="0"/>
            </w:tcBorders>
            <w:shd w:val="clear" w:color="auto" w:fill="auto"/>
            <w:vAlign w:val="center"/>
          </w:tcPr>
          <w:p w14:paraId="03B42C8A">
            <w:pPr>
              <w:pStyle w:val="15"/>
            </w:pPr>
            <w:r>
              <w:rPr>
                <w:lang w:eastAsia="ja-JP"/>
              </w:rPr>
              <w:t>M</w:t>
            </w:r>
          </w:p>
        </w:tc>
        <w:tc>
          <w:tcPr>
            <w:tcW w:w="4651" w:type="dxa"/>
            <w:vAlign w:val="center"/>
          </w:tcPr>
          <w:p w14:paraId="321D63E8">
            <w:pPr>
              <w:pStyle w:val="15"/>
            </w:pPr>
            <w:r>
              <w:t>5.通过课文的学习，了解日本经济、社会和文化。要求学生具有具有跨文化理解能力，跨文化交际能力。</w:t>
            </w:r>
          </w:p>
        </w:tc>
        <w:tc>
          <w:tcPr>
            <w:tcW w:w="1316" w:type="dxa"/>
            <w:tcBorders>
              <w:right w:val="single" w:color="auto" w:sz="12" w:space="0"/>
            </w:tcBorders>
            <w:vAlign w:val="center"/>
          </w:tcPr>
          <w:p w14:paraId="2C8E7BFB">
            <w:pPr>
              <w:pStyle w:val="15"/>
            </w:pPr>
            <w:r>
              <w:t>100%</w:t>
            </w:r>
          </w:p>
        </w:tc>
      </w:tr>
      <w:tr w14:paraId="0930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66D3CE4D">
            <w:pPr>
              <w:pStyle w:val="15"/>
            </w:pPr>
            <w:r>
              <w:t>LO2</w:t>
            </w:r>
          </w:p>
        </w:tc>
        <w:tc>
          <w:tcPr>
            <w:tcW w:w="775" w:type="dxa"/>
            <w:vMerge w:val="restart"/>
            <w:tcBorders>
              <w:left w:val="single" w:color="auto" w:sz="4" w:space="0"/>
            </w:tcBorders>
            <w:vAlign w:val="center"/>
          </w:tcPr>
          <w:p w14:paraId="669E4859">
            <w:pPr>
              <w:pStyle w:val="15"/>
              <w:rPr>
                <w:lang w:eastAsia="ja-JP"/>
              </w:rPr>
            </w:pPr>
          </w:p>
          <w:p w14:paraId="614A5925">
            <w:pPr>
              <w:pStyle w:val="15"/>
            </w:pPr>
            <w:r>
              <w:rPr>
                <w:rFonts w:hint="eastAsia"/>
                <w:lang w:eastAsia="ja-JP"/>
              </w:rPr>
              <w:t>②</w:t>
            </w:r>
          </w:p>
        </w:tc>
        <w:tc>
          <w:tcPr>
            <w:tcW w:w="775" w:type="dxa"/>
            <w:vMerge w:val="restart"/>
            <w:tcBorders>
              <w:right w:val="double" w:color="auto" w:sz="4" w:space="0"/>
            </w:tcBorders>
            <w:shd w:val="clear" w:color="auto" w:fill="auto"/>
            <w:vAlign w:val="center"/>
          </w:tcPr>
          <w:p w14:paraId="7C4ABFF9">
            <w:pPr>
              <w:pStyle w:val="15"/>
            </w:pPr>
            <w:r>
              <w:rPr>
                <w:lang w:eastAsia="ja-JP"/>
              </w:rPr>
              <w:t>H</w:t>
            </w:r>
          </w:p>
        </w:tc>
        <w:tc>
          <w:tcPr>
            <w:tcW w:w="4651" w:type="dxa"/>
            <w:vAlign w:val="center"/>
          </w:tcPr>
          <w:p w14:paraId="5AB3A3FF">
            <w:pPr>
              <w:pStyle w:val="15"/>
            </w:pPr>
            <w:r>
              <w:rPr>
                <w:rFonts w:hint="eastAsia"/>
              </w:rPr>
              <w:t>1</w:t>
            </w:r>
            <w:r>
              <w:t>. 能明确课文主题，利用网络等资源搜集、获取学习资料，了解课文相关的日本文化常识。能在课前制定学习计划，并实施学习计划。完成每课内容的学习任务后，反思学习计划、持续改进，达到学习目标。</w:t>
            </w:r>
          </w:p>
        </w:tc>
        <w:tc>
          <w:tcPr>
            <w:tcW w:w="1316" w:type="dxa"/>
            <w:tcBorders>
              <w:right w:val="single" w:color="auto" w:sz="12" w:space="0"/>
            </w:tcBorders>
            <w:vAlign w:val="center"/>
          </w:tcPr>
          <w:p w14:paraId="38A7673F">
            <w:pPr>
              <w:pStyle w:val="15"/>
            </w:pPr>
            <w:r>
              <w:rPr>
                <w:rFonts w:hint="eastAsia"/>
              </w:rPr>
              <w:t>2</w:t>
            </w:r>
            <w:r>
              <w:t>0%</w:t>
            </w:r>
          </w:p>
        </w:tc>
      </w:tr>
      <w:tr w14:paraId="37AE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2B961F4E">
            <w:pPr>
              <w:pStyle w:val="15"/>
            </w:pPr>
          </w:p>
        </w:tc>
        <w:tc>
          <w:tcPr>
            <w:tcW w:w="775" w:type="dxa"/>
            <w:vMerge w:val="continue"/>
            <w:tcBorders>
              <w:left w:val="single" w:color="auto" w:sz="4" w:space="0"/>
            </w:tcBorders>
            <w:vAlign w:val="center"/>
          </w:tcPr>
          <w:p w14:paraId="393BC6F5">
            <w:pPr>
              <w:pStyle w:val="15"/>
            </w:pPr>
          </w:p>
        </w:tc>
        <w:tc>
          <w:tcPr>
            <w:tcW w:w="775" w:type="dxa"/>
            <w:vMerge w:val="continue"/>
            <w:tcBorders>
              <w:right w:val="double" w:color="auto" w:sz="4" w:space="0"/>
            </w:tcBorders>
            <w:shd w:val="clear" w:color="auto" w:fill="auto"/>
            <w:vAlign w:val="center"/>
          </w:tcPr>
          <w:p w14:paraId="454C73C1">
            <w:pPr>
              <w:pStyle w:val="15"/>
            </w:pPr>
          </w:p>
        </w:tc>
        <w:tc>
          <w:tcPr>
            <w:tcW w:w="4651" w:type="dxa"/>
            <w:vAlign w:val="center"/>
          </w:tcPr>
          <w:p w14:paraId="21018948">
            <w:pPr>
              <w:pStyle w:val="15"/>
            </w:pPr>
            <w:r>
              <w:rPr>
                <w:rFonts w:hint="eastAsia"/>
              </w:rPr>
              <w:t>2</w:t>
            </w:r>
            <w:r>
              <w:t>. 能听懂正常语速下的课文录音，根据文章及会话内容理解说话者的意图，能听懂语段内容，并提取信息和观点，能对课文内容进行简单的评价，形成自己的观点。</w:t>
            </w:r>
          </w:p>
        </w:tc>
        <w:tc>
          <w:tcPr>
            <w:tcW w:w="1316" w:type="dxa"/>
            <w:tcBorders>
              <w:right w:val="single" w:color="auto" w:sz="12" w:space="0"/>
            </w:tcBorders>
            <w:vAlign w:val="center"/>
          </w:tcPr>
          <w:p w14:paraId="52FC64A6">
            <w:pPr>
              <w:pStyle w:val="15"/>
            </w:pPr>
            <w:r>
              <w:rPr>
                <w:rFonts w:hint="eastAsia"/>
              </w:rPr>
              <w:t>3</w:t>
            </w:r>
            <w:r>
              <w:t>0%</w:t>
            </w:r>
          </w:p>
        </w:tc>
      </w:tr>
      <w:tr w14:paraId="61FE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2CD4426F">
            <w:pPr>
              <w:pStyle w:val="15"/>
            </w:pPr>
          </w:p>
        </w:tc>
        <w:tc>
          <w:tcPr>
            <w:tcW w:w="775" w:type="dxa"/>
            <w:vMerge w:val="continue"/>
            <w:tcBorders>
              <w:left w:val="single" w:color="auto" w:sz="4" w:space="0"/>
            </w:tcBorders>
            <w:vAlign w:val="center"/>
          </w:tcPr>
          <w:p w14:paraId="660554D1">
            <w:pPr>
              <w:pStyle w:val="15"/>
            </w:pPr>
          </w:p>
        </w:tc>
        <w:tc>
          <w:tcPr>
            <w:tcW w:w="775" w:type="dxa"/>
            <w:vMerge w:val="continue"/>
            <w:tcBorders>
              <w:right w:val="double" w:color="auto" w:sz="4" w:space="0"/>
            </w:tcBorders>
            <w:shd w:val="clear" w:color="auto" w:fill="auto"/>
            <w:vAlign w:val="center"/>
          </w:tcPr>
          <w:p w14:paraId="7593D47A">
            <w:pPr>
              <w:pStyle w:val="15"/>
            </w:pPr>
          </w:p>
        </w:tc>
        <w:tc>
          <w:tcPr>
            <w:tcW w:w="4651" w:type="dxa"/>
            <w:vAlign w:val="center"/>
          </w:tcPr>
          <w:p w14:paraId="434B4481">
            <w:pPr>
              <w:pStyle w:val="15"/>
            </w:pPr>
            <w:r>
              <w:rPr>
                <w:rFonts w:hint="eastAsia"/>
              </w:rPr>
              <w:t>4</w:t>
            </w:r>
            <w:r>
              <w:t>. 掌握各项日语阅读技能，包括细读本文和会话，泛读课文应用文等，提高分析归纳、推理检验等逻辑思维能力。对课文涉及的话题有自己的想法，能对文章观点进行简单的评价。</w:t>
            </w:r>
          </w:p>
        </w:tc>
        <w:tc>
          <w:tcPr>
            <w:tcW w:w="1316" w:type="dxa"/>
            <w:tcBorders>
              <w:right w:val="single" w:color="auto" w:sz="12" w:space="0"/>
            </w:tcBorders>
            <w:vAlign w:val="center"/>
          </w:tcPr>
          <w:p w14:paraId="398FF031">
            <w:pPr>
              <w:pStyle w:val="15"/>
            </w:pPr>
            <w:r>
              <w:rPr>
                <w:rFonts w:hint="eastAsia"/>
              </w:rPr>
              <w:t>5</w:t>
            </w:r>
            <w:r>
              <w:t>0%</w:t>
            </w:r>
          </w:p>
        </w:tc>
      </w:tr>
      <w:tr w14:paraId="5CFF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3FAE485">
            <w:pPr>
              <w:pStyle w:val="15"/>
            </w:pPr>
            <w:r>
              <w:t>LO3</w:t>
            </w:r>
          </w:p>
        </w:tc>
        <w:tc>
          <w:tcPr>
            <w:tcW w:w="775" w:type="dxa"/>
            <w:tcBorders>
              <w:left w:val="single" w:color="auto" w:sz="4" w:space="0"/>
            </w:tcBorders>
            <w:vAlign w:val="center"/>
          </w:tcPr>
          <w:p w14:paraId="7B1DAD9C">
            <w:pPr>
              <w:pStyle w:val="15"/>
            </w:pPr>
            <w:r>
              <w:rPr>
                <w:rFonts w:hint="eastAsia"/>
                <w:lang w:eastAsia="ja-JP"/>
              </w:rPr>
              <w:t>②</w:t>
            </w:r>
          </w:p>
        </w:tc>
        <w:tc>
          <w:tcPr>
            <w:tcW w:w="775" w:type="dxa"/>
            <w:tcBorders>
              <w:right w:val="double" w:color="auto" w:sz="4" w:space="0"/>
            </w:tcBorders>
            <w:shd w:val="clear" w:color="auto" w:fill="auto"/>
            <w:vAlign w:val="center"/>
          </w:tcPr>
          <w:p w14:paraId="3C9A3E12">
            <w:pPr>
              <w:pStyle w:val="15"/>
            </w:pPr>
            <w:r>
              <w:rPr>
                <w:lang w:eastAsia="ja-JP"/>
              </w:rPr>
              <w:t>L</w:t>
            </w:r>
          </w:p>
        </w:tc>
        <w:tc>
          <w:tcPr>
            <w:tcW w:w="4651" w:type="dxa"/>
            <w:vAlign w:val="center"/>
          </w:tcPr>
          <w:p w14:paraId="044C10E2">
            <w:pPr>
              <w:pStyle w:val="15"/>
            </w:pPr>
            <w:r>
              <w:rPr>
                <w:rFonts w:hint="eastAsia"/>
              </w:rPr>
              <w:t>3</w:t>
            </w:r>
            <w:r>
              <w:t>.掌握课文短文及会话的正确发音，能跟录音进行朗读或二人一组进行对话。能够活学活用课文的内容和语句，围绕课文主题用日语进行交流与表达。</w:t>
            </w:r>
          </w:p>
        </w:tc>
        <w:tc>
          <w:tcPr>
            <w:tcW w:w="1316" w:type="dxa"/>
            <w:tcBorders>
              <w:right w:val="single" w:color="auto" w:sz="12" w:space="0"/>
            </w:tcBorders>
            <w:vAlign w:val="center"/>
          </w:tcPr>
          <w:p w14:paraId="7530677E">
            <w:pPr>
              <w:pStyle w:val="15"/>
            </w:pPr>
            <w:r>
              <w:t>100%</w:t>
            </w:r>
          </w:p>
        </w:tc>
      </w:tr>
    </w:tbl>
    <w:p w14:paraId="4A021B84">
      <w:pPr>
        <w:pStyle w:val="17"/>
        <w:spacing w:before="326" w:beforeLines="100" w:line="360" w:lineRule="auto"/>
        <w:rPr>
          <w:rFonts w:ascii="Times New Roman" w:hAnsi="Times New Roman" w:cs="Times New Roman"/>
        </w:rPr>
      </w:pPr>
      <w:r>
        <w:rPr>
          <w:rFonts w:ascii="Times New Roman" w:hAnsi="Times New Roman" w:cs="Times New Roman"/>
        </w:rPr>
        <w:t>三、课程内容与教学设计</w:t>
      </w:r>
    </w:p>
    <w:p w14:paraId="4DE66361">
      <w:pPr>
        <w:pStyle w:val="18"/>
        <w:spacing w:before="81" w:after="163"/>
        <w:rPr>
          <w:rFonts w:cs="Times New Roman"/>
        </w:rPr>
      </w:pPr>
      <w:r>
        <w:rPr>
          <w:rFonts w:cs="Times New Roman"/>
        </w:rPr>
        <w:t>（一）各教学单元预期学习成果与教学内容</w:t>
      </w:r>
    </w:p>
    <w:tbl>
      <w:tblPr>
        <w:tblStyle w:val="8"/>
        <w:tblpPr w:leftFromText="180" w:rightFromText="180" w:vertAnchor="text" w:horzAnchor="page" w:tblpXSpec="center" w:tblpY="152"/>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128"/>
        <w:gridCol w:w="1897"/>
        <w:gridCol w:w="2335"/>
        <w:gridCol w:w="2260"/>
      </w:tblGrid>
      <w:tr w14:paraId="47302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29" w:type="pct"/>
            <w:shd w:val="clear" w:color="auto" w:fill="auto"/>
            <w:vAlign w:val="center"/>
          </w:tcPr>
          <w:p w14:paraId="1A7F6492">
            <w:pPr>
              <w:ind w:left="113"/>
              <w:jc w:val="both"/>
              <w:rPr>
                <w:rFonts w:ascii="Times New Roman" w:hAnsi="Times New Roman" w:cs="Times New Roman" w:eastAsiaTheme="minorEastAsia"/>
                <w:bCs/>
                <w:color w:val="000000"/>
                <w:sz w:val="20"/>
                <w:szCs w:val="20"/>
                <w:lang w:eastAsia="ja-JP"/>
              </w:rPr>
            </w:pPr>
            <w:r>
              <w:rPr>
                <w:rFonts w:hint="eastAsia" w:ascii="Calibri" w:hAnsi="Calibri" w:cs="Times New Roman"/>
                <w:b/>
                <w:color w:val="000000"/>
                <w:sz w:val="20"/>
                <w:szCs w:val="20"/>
              </w:rPr>
              <w:t>单元</w:t>
            </w:r>
          </w:p>
        </w:tc>
        <w:tc>
          <w:tcPr>
            <w:tcW w:w="662" w:type="pct"/>
            <w:vAlign w:val="center"/>
          </w:tcPr>
          <w:p w14:paraId="2441F0D5">
            <w:pPr>
              <w:snapToGrid w:val="0"/>
              <w:spacing w:line="288" w:lineRule="auto"/>
              <w:jc w:val="center"/>
              <w:rPr>
                <w:rFonts w:ascii="Times New Roman" w:hAnsi="Times New Roman" w:cs="Times New Roman" w:eastAsiaTheme="minorEastAsia"/>
                <w:bCs/>
                <w:sz w:val="20"/>
                <w:szCs w:val="20"/>
                <w:lang w:eastAsia="ja-JP"/>
              </w:rPr>
            </w:pPr>
            <w:r>
              <w:rPr>
                <w:rFonts w:hint="eastAsia" w:ascii="Times New Roman" w:hAnsi="Times New Roman" w:cs="Times New Roman"/>
                <w:b/>
                <w:bCs/>
                <w:color w:val="000000"/>
                <w:sz w:val="20"/>
                <w:szCs w:val="21"/>
              </w:rPr>
              <w:t>内容</w:t>
            </w:r>
          </w:p>
        </w:tc>
        <w:tc>
          <w:tcPr>
            <w:tcW w:w="1113" w:type="pct"/>
            <w:shd w:val="clear" w:color="auto" w:fill="auto"/>
            <w:vAlign w:val="center"/>
          </w:tcPr>
          <w:p w14:paraId="10C0F346">
            <w:pPr>
              <w:snapToGrid w:val="0"/>
              <w:spacing w:line="288" w:lineRule="auto"/>
              <w:jc w:val="center"/>
              <w:rPr>
                <w:rFonts w:ascii="Times New Roman" w:hAnsi="Times New Roman" w:cs="Times New Roman" w:eastAsiaTheme="minorEastAsia"/>
                <w:sz w:val="20"/>
                <w:szCs w:val="20"/>
              </w:rPr>
            </w:pPr>
            <w:r>
              <w:rPr>
                <w:rFonts w:hint="eastAsia" w:ascii="Calibri" w:hAnsi="Calibri" w:cs="Times New Roman"/>
                <w:b/>
                <w:color w:val="000000"/>
                <w:sz w:val="20"/>
                <w:szCs w:val="20"/>
              </w:rPr>
              <w:t>知识能力要求</w:t>
            </w:r>
          </w:p>
        </w:tc>
        <w:tc>
          <w:tcPr>
            <w:tcW w:w="1370" w:type="pct"/>
            <w:shd w:val="clear" w:color="auto" w:fill="auto"/>
            <w:vAlign w:val="center"/>
          </w:tcPr>
          <w:p w14:paraId="55417A61">
            <w:pPr>
              <w:snapToGrid w:val="0"/>
              <w:spacing w:line="288" w:lineRule="auto"/>
              <w:jc w:val="center"/>
              <w:rPr>
                <w:rFonts w:ascii="Times New Roman" w:hAnsi="Times New Roman" w:cs="Times New Roman" w:eastAsiaTheme="minorEastAsia"/>
                <w:sz w:val="20"/>
                <w:szCs w:val="20"/>
                <w:lang w:eastAsia="ja-JP"/>
              </w:rPr>
            </w:pPr>
            <w:r>
              <w:rPr>
                <w:rFonts w:hint="eastAsia" w:ascii="Calibri" w:hAnsi="Calibri" w:cs="Times New Roman"/>
                <w:b/>
                <w:color w:val="000000"/>
                <w:sz w:val="20"/>
                <w:szCs w:val="20"/>
              </w:rPr>
              <w:t>教学重难点</w:t>
            </w:r>
          </w:p>
        </w:tc>
        <w:tc>
          <w:tcPr>
            <w:tcW w:w="1326" w:type="pct"/>
            <w:shd w:val="clear" w:color="auto" w:fill="auto"/>
            <w:vAlign w:val="center"/>
          </w:tcPr>
          <w:p w14:paraId="4C00ACAF">
            <w:pPr>
              <w:snapToGrid w:val="0"/>
              <w:spacing w:line="288" w:lineRule="auto"/>
              <w:jc w:val="center"/>
              <w:rPr>
                <w:rFonts w:ascii="Calibri" w:hAnsi="Calibri" w:cs="Times New Roman"/>
                <w:b/>
                <w:color w:val="000000"/>
                <w:sz w:val="20"/>
                <w:szCs w:val="20"/>
              </w:rPr>
            </w:pPr>
            <w:r>
              <w:rPr>
                <w:rFonts w:hint="eastAsia" w:ascii="Calibri" w:hAnsi="Calibri" w:cs="Times New Roman"/>
                <w:b/>
                <w:color w:val="000000"/>
                <w:sz w:val="20"/>
                <w:szCs w:val="20"/>
              </w:rPr>
              <w:t>课程预期</w:t>
            </w:r>
          </w:p>
          <w:p w14:paraId="50EDA06C">
            <w:pPr>
              <w:snapToGrid w:val="0"/>
              <w:spacing w:line="288" w:lineRule="auto"/>
              <w:jc w:val="center"/>
              <w:rPr>
                <w:rFonts w:ascii="Times New Roman" w:hAnsi="Times New Roman" w:cs="Times New Roman" w:eastAsiaTheme="minorEastAsia"/>
                <w:color w:val="000000"/>
                <w:sz w:val="20"/>
                <w:szCs w:val="20"/>
              </w:rPr>
            </w:pPr>
            <w:r>
              <w:rPr>
                <w:rFonts w:hint="eastAsia" w:ascii="Calibri" w:hAnsi="Calibri" w:cs="Times New Roman"/>
                <w:b/>
                <w:color w:val="000000"/>
                <w:sz w:val="20"/>
                <w:szCs w:val="20"/>
              </w:rPr>
              <w:t>学习成果</w:t>
            </w:r>
          </w:p>
        </w:tc>
      </w:tr>
      <w:tr w14:paraId="02072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29" w:type="pct"/>
            <w:shd w:val="clear" w:color="auto" w:fill="auto"/>
            <w:vAlign w:val="center"/>
          </w:tcPr>
          <w:p w14:paraId="1DC14E49">
            <w:pPr>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w:t>
            </w:r>
          </w:p>
        </w:tc>
        <w:tc>
          <w:tcPr>
            <w:tcW w:w="662" w:type="pct"/>
          </w:tcPr>
          <w:p w14:paraId="1BE4F6B3">
            <w:pPr>
              <w:spacing w:line="288" w:lineRule="auto"/>
              <w:rPr>
                <w:rFonts w:ascii="Calibri" w:hAnsi="Calibri" w:eastAsia="MS Mincho"/>
                <w:bCs/>
                <w:sz w:val="20"/>
                <w:szCs w:val="20"/>
                <w:lang w:eastAsia="ja-JP"/>
              </w:rPr>
            </w:pPr>
            <w:r>
              <w:rPr>
                <w:rFonts w:hint="eastAsia" w:ascii="Calibri" w:hAnsi="Calibri"/>
                <w:bCs/>
                <w:sz w:val="20"/>
                <w:szCs w:val="20"/>
                <w:lang w:eastAsia="ja-JP"/>
              </w:rPr>
              <w:t>1.</w:t>
            </w:r>
            <w:r>
              <w:rPr>
                <w:rFonts w:hint="eastAsia" w:ascii="Calibri" w:hAnsi="Calibri" w:eastAsia="MS Mincho"/>
                <w:bCs/>
                <w:sz w:val="20"/>
                <w:szCs w:val="20"/>
                <w:lang w:eastAsia="ja-JP"/>
              </w:rPr>
              <w:t>日本について</w:t>
            </w:r>
          </w:p>
          <w:p w14:paraId="39D90300">
            <w:pPr>
              <w:spacing w:line="288" w:lineRule="auto"/>
              <w:rPr>
                <w:rFonts w:ascii="Calibri" w:hAnsi="Calibri" w:eastAsia="MS Mincho"/>
                <w:bCs/>
                <w:sz w:val="20"/>
                <w:szCs w:val="20"/>
                <w:lang w:eastAsia="ja-JP"/>
              </w:rPr>
            </w:pPr>
            <w:r>
              <w:rPr>
                <w:rFonts w:hint="eastAsia" w:ascii="Calibri" w:hAnsi="Calibri"/>
                <w:bCs/>
                <w:sz w:val="20"/>
                <w:szCs w:val="20"/>
                <w:lang w:eastAsia="ja-JP"/>
              </w:rPr>
              <w:t>2.</w:t>
            </w:r>
            <w:r>
              <w:rPr>
                <w:rFonts w:hint="eastAsia" w:ascii="Calibri" w:hAnsi="Calibri" w:eastAsia="MS Mincho"/>
                <w:bCs/>
                <w:sz w:val="20"/>
                <w:szCs w:val="20"/>
                <w:lang w:eastAsia="ja-JP"/>
              </w:rPr>
              <w:t>カラオケ</w:t>
            </w:r>
          </w:p>
          <w:p w14:paraId="5554E5E6">
            <w:pPr>
              <w:spacing w:line="288" w:lineRule="auto"/>
              <w:rPr>
                <w:rFonts w:ascii="Calibri" w:hAnsi="Calibri" w:eastAsia="MS Mincho"/>
                <w:bCs/>
                <w:sz w:val="20"/>
                <w:szCs w:val="20"/>
                <w:lang w:eastAsia="ja-JP"/>
              </w:rPr>
            </w:pPr>
            <w:r>
              <w:rPr>
                <w:rFonts w:hint="eastAsia" w:ascii="Calibri" w:hAnsi="Calibri"/>
                <w:bCs/>
                <w:sz w:val="20"/>
                <w:szCs w:val="20"/>
                <w:lang w:eastAsia="ja-JP"/>
              </w:rPr>
              <w:t>3.</w:t>
            </w:r>
            <w:r>
              <w:rPr>
                <w:rFonts w:hint="eastAsia" w:ascii="Calibri" w:hAnsi="Calibri" w:eastAsia="MS Mincho"/>
                <w:bCs/>
                <w:sz w:val="20"/>
                <w:szCs w:val="20"/>
                <w:lang w:eastAsia="ja-JP"/>
              </w:rPr>
              <w:t>日本人とユーモア　</w:t>
            </w:r>
          </w:p>
          <w:p w14:paraId="35048CA9">
            <w:pPr>
              <w:spacing w:line="288" w:lineRule="auto"/>
              <w:rPr>
                <w:rFonts w:ascii="Calibri" w:hAnsi="Calibri" w:eastAsia="MS Mincho"/>
                <w:bCs/>
                <w:sz w:val="20"/>
                <w:szCs w:val="20"/>
                <w:lang w:eastAsia="ja-JP"/>
              </w:rPr>
            </w:pPr>
            <w:r>
              <w:rPr>
                <w:rFonts w:hint="eastAsia" w:ascii="Calibri" w:hAnsi="Calibri"/>
                <w:bCs/>
                <w:sz w:val="20"/>
                <w:szCs w:val="20"/>
                <w:lang w:eastAsia="ja-JP"/>
              </w:rPr>
              <w:t>4.</w:t>
            </w:r>
            <w:r>
              <w:rPr>
                <w:rFonts w:hint="eastAsia" w:ascii="Calibri" w:hAnsi="Calibri" w:eastAsia="MS Mincho"/>
                <w:bCs/>
                <w:sz w:val="20"/>
                <w:szCs w:val="20"/>
                <w:lang w:eastAsia="ja-JP"/>
              </w:rPr>
              <w:t>日本料理　</w:t>
            </w:r>
          </w:p>
          <w:p w14:paraId="0A94FCA6">
            <w:pPr>
              <w:snapToGrid w:val="0"/>
              <w:spacing w:line="288" w:lineRule="auto"/>
              <w:rPr>
                <w:rFonts w:ascii="Times New Roman" w:hAnsi="Times New Roman" w:cs="Times New Roman" w:eastAsiaTheme="minorEastAsia"/>
                <w:color w:val="000000"/>
                <w:sz w:val="20"/>
                <w:szCs w:val="20"/>
                <w:lang w:eastAsia="ja-JP"/>
              </w:rPr>
            </w:pPr>
            <w:r>
              <w:rPr>
                <w:rFonts w:hint="eastAsia" w:ascii="Calibri" w:hAnsi="Calibri"/>
                <w:bCs/>
                <w:sz w:val="20"/>
                <w:szCs w:val="20"/>
                <w:lang w:eastAsia="ja-JP"/>
              </w:rPr>
              <w:t>5.</w:t>
            </w:r>
            <w:r>
              <w:rPr>
                <w:rFonts w:hint="eastAsia" w:ascii="Calibri" w:hAnsi="Calibri" w:eastAsia="MS Mincho"/>
                <w:bCs/>
                <w:sz w:val="20"/>
                <w:szCs w:val="20"/>
                <w:lang w:eastAsia="ja-JP"/>
              </w:rPr>
              <w:t>着物</w:t>
            </w:r>
          </w:p>
        </w:tc>
        <w:tc>
          <w:tcPr>
            <w:tcW w:w="1113" w:type="pct"/>
            <w:shd w:val="clear" w:color="auto" w:fill="auto"/>
          </w:tcPr>
          <w:p w14:paraId="10AD2A33">
            <w:pPr>
              <w:widowControl w:val="0"/>
              <w:spacing w:line="288" w:lineRule="auto"/>
              <w:rPr>
                <w:rFonts w:ascii="Calibri" w:hAnsi="Calibri" w:eastAsia="MS Mincho"/>
                <w:bCs/>
                <w:sz w:val="20"/>
                <w:szCs w:val="20"/>
                <w:lang w:eastAsia="ja-JP"/>
              </w:rPr>
            </w:pPr>
            <w:r>
              <w:rPr>
                <w:rFonts w:hint="eastAsia" w:ascii="Calibri" w:hAnsi="Calibri"/>
                <w:bCs/>
                <w:sz w:val="20"/>
                <w:szCs w:val="20"/>
                <w:lang w:eastAsia="ja-JP"/>
              </w:rPr>
              <w:t>1</w:t>
            </w:r>
            <w:r>
              <w:rPr>
                <w:rFonts w:ascii="Calibri" w:hAnsi="Calibri"/>
                <w:bCs/>
                <w:sz w:val="20"/>
                <w:szCs w:val="20"/>
                <w:lang w:eastAsia="ja-JP"/>
              </w:rPr>
              <w:t>.</w:t>
            </w:r>
            <w:r>
              <w:rPr>
                <w:rFonts w:hint="eastAsia" w:ascii="Calibri" w:hAnsi="Calibri"/>
                <w:bCs/>
                <w:sz w:val="20"/>
                <w:szCs w:val="20"/>
                <w:lang w:eastAsia="ja-JP"/>
              </w:rPr>
              <w:t>相关语法与句型。</w:t>
            </w:r>
          </w:p>
          <w:p w14:paraId="5E389B5A">
            <w:pPr>
              <w:widowControl w:val="0"/>
              <w:spacing w:line="288" w:lineRule="auto"/>
              <w:rPr>
                <w:rFonts w:ascii="Calibri" w:hAnsi="Calibri" w:eastAsia="MS Mincho"/>
                <w:bCs/>
                <w:sz w:val="20"/>
                <w:szCs w:val="20"/>
                <w:lang w:eastAsia="ja-JP"/>
              </w:rPr>
            </w:pPr>
            <w:r>
              <w:rPr>
                <w:rFonts w:hint="eastAsia" w:ascii="Calibri" w:hAnsi="Calibri"/>
                <w:bCs/>
                <w:sz w:val="20"/>
                <w:szCs w:val="20"/>
                <w:lang w:eastAsia="ja-JP"/>
              </w:rPr>
              <w:t>2</w:t>
            </w:r>
            <w:r>
              <w:rPr>
                <w:rFonts w:ascii="Calibri" w:hAnsi="Calibri"/>
                <w:bCs/>
                <w:sz w:val="20"/>
                <w:szCs w:val="20"/>
                <w:lang w:eastAsia="ja-JP"/>
              </w:rPr>
              <w:t>.</w:t>
            </w:r>
            <w:r>
              <w:rPr>
                <w:rFonts w:hint="eastAsia" w:ascii="Calibri" w:hAnsi="Calibri"/>
                <w:bCs/>
                <w:sz w:val="20"/>
                <w:szCs w:val="20"/>
                <w:lang w:eastAsia="ja-JP"/>
              </w:rPr>
              <w:t>功能用语（</w:t>
            </w:r>
            <w:r>
              <w:rPr>
                <w:rFonts w:hint="eastAsia" w:ascii="Calibri" w:hAnsi="Calibri" w:eastAsia="MS Mincho"/>
                <w:bCs/>
                <w:sz w:val="20"/>
                <w:szCs w:val="20"/>
                <w:lang w:eastAsia="ja-JP"/>
              </w:rPr>
              <w:t>慰める、驚く、後悔、謙遜、意志</w:t>
            </w:r>
            <w:r>
              <w:rPr>
                <w:rFonts w:hint="eastAsia" w:ascii="Calibri" w:hAnsi="Calibri"/>
                <w:bCs/>
                <w:sz w:val="20"/>
                <w:szCs w:val="20"/>
                <w:lang w:eastAsia="ja-JP"/>
              </w:rPr>
              <w:t>）。</w:t>
            </w:r>
          </w:p>
          <w:p w14:paraId="3CACA7B5">
            <w:pPr>
              <w:widowControl w:val="0"/>
              <w:spacing w:line="288" w:lineRule="auto"/>
              <w:rPr>
                <w:rFonts w:ascii="Calibri" w:hAnsi="Calibri" w:eastAsia="MS Mincho"/>
                <w:bCs/>
                <w:sz w:val="20"/>
                <w:szCs w:val="20"/>
                <w:lang w:eastAsia="ja-JP"/>
              </w:rPr>
            </w:pPr>
            <w:r>
              <w:rPr>
                <w:rFonts w:hint="eastAsia" w:ascii="Calibri" w:hAnsi="Calibri"/>
                <w:bCs/>
                <w:sz w:val="20"/>
                <w:szCs w:val="20"/>
                <w:lang w:eastAsia="ja-JP"/>
              </w:rPr>
              <w:t>3．部分惯用语，如</w:t>
            </w:r>
            <w:r>
              <w:rPr>
                <w:rFonts w:hint="eastAsia" w:ascii="Calibri" w:hAnsi="Calibri" w:eastAsia="MS Mincho"/>
                <w:bCs/>
                <w:sz w:val="20"/>
                <w:szCs w:val="20"/>
                <w:lang w:eastAsia="ja-JP"/>
              </w:rPr>
              <w:t>「目がない」「うなぎのぼり」</w:t>
            </w:r>
            <w:r>
              <w:rPr>
                <w:rFonts w:hint="eastAsia" w:ascii="Calibri" w:hAnsi="Calibri"/>
                <w:bCs/>
                <w:sz w:val="20"/>
                <w:szCs w:val="20"/>
                <w:lang w:eastAsia="ja-JP"/>
              </w:rPr>
              <w:t>的意义与用法。</w:t>
            </w:r>
          </w:p>
          <w:p w14:paraId="46AAA6B1">
            <w:pPr>
              <w:widowControl w:val="0"/>
              <w:spacing w:line="288" w:lineRule="auto"/>
              <w:rPr>
                <w:rFonts w:ascii="Times New Roman" w:hAnsi="Times New Roman" w:cs="Times New Roman" w:eastAsiaTheme="minorEastAsia"/>
                <w:color w:val="000000"/>
                <w:sz w:val="20"/>
                <w:szCs w:val="20"/>
                <w:lang w:eastAsia="ja-JP"/>
              </w:rPr>
            </w:pPr>
            <w:r>
              <w:rPr>
                <w:rFonts w:hint="eastAsia" w:ascii="Calibri" w:hAnsi="Calibri"/>
                <w:bCs/>
                <w:sz w:val="20"/>
                <w:szCs w:val="20"/>
                <w:lang w:eastAsia="ja-JP"/>
              </w:rPr>
              <w:t>部分接尾词</w:t>
            </w:r>
            <w:r>
              <w:rPr>
                <w:rFonts w:hint="eastAsia" w:ascii="Calibri" w:hAnsi="Calibri" w:eastAsia="MS Mincho"/>
                <w:bCs/>
                <w:sz w:val="20"/>
                <w:szCs w:val="20"/>
                <w:lang w:eastAsia="ja-JP"/>
              </w:rPr>
              <w:t>「ずくめ」「ごと」「放題」</w:t>
            </w:r>
            <w:r>
              <w:rPr>
                <w:rFonts w:hint="eastAsia" w:ascii="Calibri" w:hAnsi="Calibri"/>
                <w:bCs/>
                <w:sz w:val="20"/>
                <w:szCs w:val="20"/>
                <w:lang w:eastAsia="ja-JP"/>
              </w:rPr>
              <w:t>等的意义与用法。</w:t>
            </w:r>
          </w:p>
        </w:tc>
        <w:tc>
          <w:tcPr>
            <w:tcW w:w="1370" w:type="pct"/>
            <w:shd w:val="clear" w:color="auto" w:fill="auto"/>
          </w:tcPr>
          <w:p w14:paraId="1BC9A946">
            <w:pPr>
              <w:widowControl w:val="0"/>
              <w:spacing w:line="288" w:lineRule="auto"/>
              <w:rPr>
                <w:rFonts w:ascii="Calibri" w:hAnsi="Calibri"/>
                <w:bCs/>
                <w:sz w:val="20"/>
                <w:szCs w:val="20"/>
              </w:rPr>
            </w:pPr>
            <w:r>
              <w:rPr>
                <w:rFonts w:hint="eastAsia" w:ascii="Calibri" w:hAnsi="Calibri"/>
                <w:bCs/>
                <w:sz w:val="20"/>
                <w:szCs w:val="20"/>
              </w:rPr>
              <w:t>1</w:t>
            </w:r>
            <w:r>
              <w:rPr>
                <w:rFonts w:ascii="Calibri" w:hAnsi="Calibri"/>
                <w:bCs/>
                <w:sz w:val="20"/>
                <w:szCs w:val="20"/>
              </w:rPr>
              <w:t>.</w:t>
            </w:r>
            <w:r>
              <w:rPr>
                <w:rFonts w:hint="eastAsia" w:ascii="Calibri" w:hAnsi="Calibri"/>
                <w:bCs/>
                <w:sz w:val="20"/>
                <w:szCs w:val="20"/>
              </w:rPr>
              <w:t>结合课文详细讲解文中出现的新单词、新句型的用法。</w:t>
            </w:r>
          </w:p>
          <w:p w14:paraId="226F9529">
            <w:pPr>
              <w:widowControl w:val="0"/>
              <w:spacing w:line="288" w:lineRule="auto"/>
              <w:rPr>
                <w:rFonts w:ascii="Calibri" w:hAnsi="Calibri"/>
                <w:bCs/>
                <w:sz w:val="20"/>
                <w:szCs w:val="20"/>
              </w:rPr>
            </w:pPr>
            <w:r>
              <w:rPr>
                <w:rFonts w:hint="eastAsia" w:ascii="Calibri" w:hAnsi="Calibri"/>
                <w:bCs/>
                <w:sz w:val="20"/>
                <w:szCs w:val="20"/>
              </w:rPr>
              <w:t>2</w:t>
            </w:r>
            <w:r>
              <w:rPr>
                <w:rFonts w:ascii="Calibri" w:hAnsi="Calibri"/>
                <w:bCs/>
                <w:sz w:val="20"/>
                <w:szCs w:val="20"/>
              </w:rPr>
              <w:t>.</w:t>
            </w:r>
            <w:r>
              <w:rPr>
                <w:rFonts w:hint="eastAsia" w:ascii="Calibri" w:hAnsi="Calibri"/>
                <w:bCs/>
                <w:sz w:val="20"/>
                <w:szCs w:val="20"/>
              </w:rPr>
              <w:t>通过课文的学习了解日本的地理历史、卡拉OK文化、日本料理和和服文化，能围绕日本文化的主题进行日语会话。</w:t>
            </w:r>
          </w:p>
          <w:p w14:paraId="2DB9F83F">
            <w:pPr>
              <w:widowControl w:val="0"/>
              <w:spacing w:line="288" w:lineRule="auto"/>
              <w:rPr>
                <w:rFonts w:ascii="Calibri" w:hAnsi="Calibri"/>
                <w:bCs/>
                <w:sz w:val="20"/>
                <w:szCs w:val="20"/>
              </w:rPr>
            </w:pPr>
            <w:r>
              <w:rPr>
                <w:rFonts w:hint="eastAsia" w:ascii="Calibri" w:hAnsi="Calibri"/>
                <w:bCs/>
                <w:sz w:val="20"/>
                <w:szCs w:val="20"/>
              </w:rPr>
              <w:t>3</w:t>
            </w:r>
            <w:r>
              <w:rPr>
                <w:rFonts w:ascii="Calibri" w:hAnsi="Calibri"/>
                <w:bCs/>
                <w:sz w:val="20"/>
                <w:szCs w:val="20"/>
              </w:rPr>
              <w:t>.</w:t>
            </w:r>
            <w:r>
              <w:rPr>
                <w:rFonts w:hint="eastAsia" w:ascii="Calibri" w:hAnsi="Calibri"/>
                <w:bCs/>
                <w:sz w:val="20"/>
                <w:szCs w:val="20"/>
              </w:rPr>
              <w:t>运用本课的新单词和新语法，完成课后练习，中日互译。</w:t>
            </w:r>
          </w:p>
          <w:p w14:paraId="5275651F">
            <w:pPr>
              <w:snapToGrid w:val="0"/>
              <w:spacing w:line="288" w:lineRule="auto"/>
              <w:rPr>
                <w:rFonts w:ascii="Times New Roman" w:hAnsi="Times New Roman" w:cs="Times New Roman" w:eastAsiaTheme="minorEastAsia"/>
                <w:color w:val="000000"/>
                <w:sz w:val="20"/>
                <w:szCs w:val="20"/>
              </w:rPr>
            </w:pPr>
          </w:p>
        </w:tc>
        <w:tc>
          <w:tcPr>
            <w:tcW w:w="1326" w:type="pct"/>
            <w:shd w:val="clear" w:color="auto" w:fill="auto"/>
          </w:tcPr>
          <w:p w14:paraId="7CB5471A">
            <w:pPr>
              <w:spacing w:line="288" w:lineRule="auto"/>
              <w:rPr>
                <w:rFonts w:ascii="Calibri" w:hAnsi="Calibri"/>
                <w:bCs/>
                <w:sz w:val="20"/>
                <w:szCs w:val="20"/>
              </w:rPr>
            </w:pPr>
            <w:r>
              <w:rPr>
                <w:rFonts w:hint="eastAsia" w:ascii="Calibri" w:hAnsi="Calibri"/>
                <w:bCs/>
                <w:sz w:val="20"/>
                <w:szCs w:val="20"/>
              </w:rPr>
              <w:t>1</w:t>
            </w:r>
            <w:r>
              <w:rPr>
                <w:rFonts w:ascii="Calibri" w:hAnsi="Calibri"/>
                <w:bCs/>
                <w:sz w:val="20"/>
                <w:szCs w:val="20"/>
              </w:rPr>
              <w:t>.</w:t>
            </w:r>
            <w:r>
              <w:rPr>
                <w:rFonts w:hint="eastAsia" w:ascii="Calibri" w:hAnsi="Calibri"/>
                <w:bCs/>
                <w:sz w:val="20"/>
                <w:szCs w:val="20"/>
              </w:rPr>
              <w:t>能够熟记单词。</w:t>
            </w:r>
          </w:p>
          <w:p w14:paraId="51759F6A">
            <w:pPr>
              <w:spacing w:line="288" w:lineRule="auto"/>
              <w:rPr>
                <w:rFonts w:ascii="Calibri" w:hAnsi="Calibri"/>
                <w:bCs/>
                <w:sz w:val="20"/>
                <w:szCs w:val="20"/>
              </w:rPr>
            </w:pPr>
            <w:r>
              <w:rPr>
                <w:rFonts w:hint="eastAsia" w:ascii="Calibri" w:hAnsi="Calibri"/>
                <w:bCs/>
                <w:sz w:val="20"/>
                <w:szCs w:val="20"/>
              </w:rPr>
              <w:t>2</w:t>
            </w:r>
            <w:r>
              <w:rPr>
                <w:rFonts w:ascii="Calibri" w:hAnsi="Calibri"/>
                <w:bCs/>
                <w:sz w:val="20"/>
                <w:szCs w:val="20"/>
              </w:rPr>
              <w:t>.</w:t>
            </w:r>
            <w:r>
              <w:rPr>
                <w:rFonts w:hint="eastAsia" w:ascii="Calibri" w:hAnsi="Calibri"/>
                <w:bCs/>
                <w:sz w:val="20"/>
                <w:szCs w:val="20"/>
              </w:rPr>
              <w:t>能够熟读课文，能背诵课文重点段落，能正确理解新单词和新语法在文中的意义。</w:t>
            </w:r>
          </w:p>
          <w:p w14:paraId="28717FCC">
            <w:pPr>
              <w:spacing w:line="288" w:lineRule="auto"/>
              <w:rPr>
                <w:rFonts w:ascii="Calibri" w:hAnsi="Calibri"/>
                <w:bCs/>
                <w:sz w:val="20"/>
                <w:szCs w:val="20"/>
              </w:rPr>
            </w:pPr>
            <w:r>
              <w:rPr>
                <w:rFonts w:hint="eastAsia" w:ascii="Calibri" w:hAnsi="Calibri"/>
                <w:bCs/>
                <w:sz w:val="20"/>
                <w:szCs w:val="20"/>
              </w:rPr>
              <w:t>3</w:t>
            </w:r>
            <w:r>
              <w:rPr>
                <w:rFonts w:ascii="Calibri" w:hAnsi="Calibri"/>
                <w:bCs/>
                <w:sz w:val="20"/>
                <w:szCs w:val="20"/>
              </w:rPr>
              <w:t>.</w:t>
            </w:r>
            <w:r>
              <w:rPr>
                <w:rFonts w:hint="eastAsia" w:ascii="Calibri" w:hAnsi="Calibri"/>
                <w:bCs/>
                <w:sz w:val="20"/>
                <w:szCs w:val="20"/>
              </w:rPr>
              <w:t>能模仿会话文内容，围绕日本文化进行课堂会话。</w:t>
            </w:r>
          </w:p>
          <w:p w14:paraId="25408A3B">
            <w:pPr>
              <w:spacing w:line="288" w:lineRule="auto"/>
              <w:rPr>
                <w:rFonts w:ascii="Calibri" w:hAnsi="Calibri"/>
                <w:bCs/>
                <w:sz w:val="20"/>
                <w:szCs w:val="20"/>
              </w:rPr>
            </w:pPr>
            <w:r>
              <w:rPr>
                <w:rFonts w:hint="eastAsia" w:ascii="Calibri" w:hAnsi="Calibri"/>
                <w:bCs/>
                <w:sz w:val="20"/>
                <w:szCs w:val="20"/>
              </w:rPr>
              <w:t>4</w:t>
            </w:r>
            <w:r>
              <w:rPr>
                <w:rFonts w:ascii="Calibri" w:hAnsi="Calibri"/>
                <w:bCs/>
                <w:sz w:val="20"/>
                <w:szCs w:val="20"/>
              </w:rPr>
              <w:t>.</w:t>
            </w:r>
            <w:r>
              <w:rPr>
                <w:rFonts w:hint="eastAsia" w:ascii="Calibri" w:hAnsi="Calibri"/>
                <w:bCs/>
                <w:sz w:val="20"/>
                <w:szCs w:val="20"/>
              </w:rPr>
              <w:t>帮助学生分析理解应用文的主要内容，提高学生的日语阅读能力。</w:t>
            </w:r>
          </w:p>
          <w:p w14:paraId="3803BA19">
            <w:pPr>
              <w:snapToGrid w:val="0"/>
              <w:spacing w:line="288" w:lineRule="auto"/>
              <w:rPr>
                <w:rFonts w:ascii="Times New Roman" w:hAnsi="Times New Roman" w:cs="Times New Roman" w:eastAsiaTheme="minorEastAsia"/>
                <w:color w:val="000000"/>
                <w:sz w:val="20"/>
                <w:szCs w:val="20"/>
              </w:rPr>
            </w:pPr>
          </w:p>
        </w:tc>
      </w:tr>
      <w:tr w14:paraId="46C1B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29" w:type="pct"/>
            <w:shd w:val="clear" w:color="auto" w:fill="auto"/>
            <w:vAlign w:val="center"/>
          </w:tcPr>
          <w:p w14:paraId="669F2192">
            <w:pPr>
              <w:jc w:val="center"/>
              <w:rPr>
                <w:rFonts w:ascii="Times New Roman" w:hAnsi="Times New Roman" w:cs="Times New Roman" w:eastAsiaTheme="minorEastAsia"/>
                <w:color w:val="000000"/>
                <w:sz w:val="20"/>
                <w:szCs w:val="20"/>
                <w:lang w:eastAsia="ja-JP"/>
              </w:rPr>
            </w:pPr>
            <w:r>
              <w:rPr>
                <w:rFonts w:hint="eastAsia" w:ascii="Times New Roman" w:hAnsi="Times New Roman" w:cs="Times New Roman" w:eastAsiaTheme="minorEastAsia"/>
                <w:color w:val="000000"/>
                <w:sz w:val="20"/>
                <w:szCs w:val="20"/>
              </w:rPr>
              <w:t>2</w:t>
            </w:r>
          </w:p>
        </w:tc>
        <w:tc>
          <w:tcPr>
            <w:tcW w:w="662" w:type="pct"/>
          </w:tcPr>
          <w:p w14:paraId="01D7C7D8">
            <w:pPr>
              <w:spacing w:line="288" w:lineRule="auto"/>
              <w:rPr>
                <w:rFonts w:ascii="Calibri" w:hAnsi="Calibri" w:eastAsia="MS Mincho"/>
                <w:bCs/>
                <w:sz w:val="20"/>
                <w:szCs w:val="20"/>
                <w:lang w:eastAsia="ja-JP"/>
              </w:rPr>
            </w:pPr>
          </w:p>
          <w:p w14:paraId="4E1A5FDE">
            <w:pPr>
              <w:spacing w:line="288" w:lineRule="auto"/>
              <w:rPr>
                <w:rFonts w:ascii="Calibri" w:hAnsi="Calibri" w:eastAsia="MS Mincho"/>
                <w:bCs/>
                <w:sz w:val="20"/>
                <w:szCs w:val="20"/>
                <w:lang w:eastAsia="ja-JP"/>
              </w:rPr>
            </w:pPr>
            <w:r>
              <w:rPr>
                <w:rFonts w:hint="eastAsia" w:ascii="Calibri" w:hAnsi="Calibri"/>
                <w:bCs/>
                <w:sz w:val="20"/>
                <w:szCs w:val="20"/>
                <w:lang w:eastAsia="ja-JP"/>
              </w:rPr>
              <w:t>1.</w:t>
            </w:r>
            <w:r>
              <w:rPr>
                <w:rFonts w:hint="eastAsia" w:ascii="Calibri" w:hAnsi="Calibri" w:eastAsia="MS Mincho"/>
                <w:bCs/>
                <w:sz w:val="20"/>
                <w:szCs w:val="20"/>
                <w:lang w:eastAsia="ja-JP"/>
              </w:rPr>
              <w:t>早く早く</w:t>
            </w:r>
          </w:p>
          <w:p w14:paraId="64DC9C8B">
            <w:pPr>
              <w:spacing w:line="288" w:lineRule="auto"/>
              <w:rPr>
                <w:rFonts w:ascii="Calibri" w:hAnsi="Calibri" w:eastAsia="MS Mincho"/>
                <w:bCs/>
                <w:sz w:val="20"/>
                <w:szCs w:val="20"/>
                <w:lang w:eastAsia="ja-JP"/>
              </w:rPr>
            </w:pPr>
            <w:r>
              <w:rPr>
                <w:rFonts w:hint="eastAsia" w:ascii="Calibri" w:hAnsi="Calibri"/>
                <w:bCs/>
                <w:sz w:val="20"/>
                <w:szCs w:val="20"/>
                <w:lang w:eastAsia="ja-JP"/>
              </w:rPr>
              <w:t>2.</w:t>
            </w:r>
            <w:r>
              <w:rPr>
                <w:rFonts w:hint="eastAsia" w:ascii="Calibri" w:hAnsi="Calibri" w:eastAsia="MS Mincho"/>
                <w:bCs/>
                <w:sz w:val="20"/>
                <w:szCs w:val="20"/>
                <w:lang w:eastAsia="ja-JP"/>
              </w:rPr>
              <w:t>本音と建前</w:t>
            </w:r>
          </w:p>
          <w:p w14:paraId="7E6E699E">
            <w:pPr>
              <w:spacing w:line="288" w:lineRule="auto"/>
              <w:rPr>
                <w:rFonts w:ascii="Calibri" w:hAnsi="Calibri" w:eastAsia="MS Mincho"/>
                <w:bCs/>
                <w:sz w:val="20"/>
                <w:szCs w:val="20"/>
                <w:lang w:eastAsia="ja-JP"/>
              </w:rPr>
            </w:pPr>
            <w:r>
              <w:rPr>
                <w:rFonts w:hint="eastAsia" w:ascii="Calibri" w:hAnsi="Calibri"/>
                <w:bCs/>
                <w:sz w:val="20"/>
                <w:szCs w:val="20"/>
                <w:lang w:eastAsia="ja-JP"/>
              </w:rPr>
              <w:t>3.</w:t>
            </w:r>
            <w:r>
              <w:rPr>
                <w:rFonts w:hint="eastAsia" w:ascii="Calibri" w:hAnsi="Calibri" w:eastAsia="MS Mincho"/>
                <w:bCs/>
                <w:sz w:val="20"/>
                <w:szCs w:val="20"/>
                <w:lang w:eastAsia="ja-JP"/>
              </w:rPr>
              <w:t>ゴミ</w:t>
            </w:r>
          </w:p>
          <w:p w14:paraId="6CD6CC87">
            <w:pPr>
              <w:spacing w:line="288" w:lineRule="auto"/>
              <w:rPr>
                <w:rFonts w:ascii="Calibri" w:hAnsi="Calibri" w:eastAsia="MS Mincho"/>
                <w:bCs/>
                <w:sz w:val="20"/>
                <w:szCs w:val="20"/>
                <w:lang w:eastAsia="ja-JP"/>
              </w:rPr>
            </w:pPr>
            <w:r>
              <w:rPr>
                <w:rFonts w:hint="eastAsia" w:ascii="Calibri" w:hAnsi="Calibri"/>
                <w:bCs/>
                <w:sz w:val="20"/>
                <w:szCs w:val="20"/>
              </w:rPr>
              <w:t>4.</w:t>
            </w:r>
            <w:r>
              <w:rPr>
                <w:rFonts w:hint="eastAsia" w:ascii="Calibri" w:hAnsi="Calibri" w:eastAsia="MS Mincho"/>
                <w:bCs/>
                <w:sz w:val="20"/>
                <w:szCs w:val="20"/>
                <w:lang w:eastAsia="ja-JP"/>
              </w:rPr>
              <w:t>環境を考える</w:t>
            </w:r>
          </w:p>
          <w:p w14:paraId="07715A3F">
            <w:pPr>
              <w:snapToGrid w:val="0"/>
              <w:spacing w:line="288" w:lineRule="auto"/>
              <w:rPr>
                <w:rFonts w:ascii="Times New Roman" w:hAnsi="Times New Roman" w:cs="Times New Roman" w:eastAsiaTheme="minorEastAsia"/>
                <w:color w:val="000000"/>
                <w:sz w:val="20"/>
                <w:szCs w:val="20"/>
                <w:lang w:eastAsia="ja-JP"/>
              </w:rPr>
            </w:pPr>
            <w:r>
              <w:rPr>
                <w:rFonts w:hint="eastAsia" w:ascii="Calibri" w:hAnsi="Calibri"/>
                <w:bCs/>
                <w:sz w:val="20"/>
                <w:szCs w:val="20"/>
              </w:rPr>
              <w:t>5.</w:t>
            </w:r>
            <w:r>
              <w:rPr>
                <w:rFonts w:hint="eastAsia" w:ascii="Calibri" w:hAnsi="Calibri" w:eastAsia="MS Mincho"/>
                <w:bCs/>
                <w:sz w:val="20"/>
                <w:szCs w:val="20"/>
                <w:lang w:eastAsia="ja-JP"/>
              </w:rPr>
              <w:t>教育</w:t>
            </w:r>
          </w:p>
        </w:tc>
        <w:tc>
          <w:tcPr>
            <w:tcW w:w="1113" w:type="pct"/>
            <w:shd w:val="clear" w:color="auto" w:fill="auto"/>
          </w:tcPr>
          <w:p w14:paraId="229FD876">
            <w:pPr>
              <w:spacing w:line="288" w:lineRule="auto"/>
              <w:rPr>
                <w:rFonts w:ascii="Calibri" w:hAnsi="Calibri" w:eastAsia="MS Mincho"/>
                <w:bCs/>
                <w:sz w:val="20"/>
                <w:szCs w:val="20"/>
                <w:lang w:eastAsia="ja-JP"/>
              </w:rPr>
            </w:pPr>
            <w:r>
              <w:rPr>
                <w:rFonts w:hint="eastAsia" w:ascii="Calibri" w:hAnsi="Calibri" w:eastAsia="MS Mincho"/>
                <w:bCs/>
                <w:sz w:val="20"/>
                <w:szCs w:val="20"/>
                <w:lang w:eastAsia="ja-JP"/>
              </w:rPr>
              <w:t>1．相关</w:t>
            </w:r>
            <w:r>
              <w:rPr>
                <w:rFonts w:hint="eastAsia"/>
                <w:bCs/>
                <w:sz w:val="20"/>
                <w:szCs w:val="20"/>
                <w:lang w:eastAsia="ja-JP"/>
              </w:rPr>
              <w:t>语</w:t>
            </w:r>
            <w:r>
              <w:rPr>
                <w:rFonts w:hint="eastAsia" w:ascii="MS Mincho" w:hAnsi="MS Mincho" w:eastAsia="MS Mincho" w:cs="MS Mincho"/>
                <w:bCs/>
                <w:sz w:val="20"/>
                <w:szCs w:val="20"/>
                <w:lang w:eastAsia="ja-JP"/>
              </w:rPr>
              <w:t>法与句型。</w:t>
            </w:r>
          </w:p>
          <w:p w14:paraId="693FFBD5">
            <w:pPr>
              <w:spacing w:line="288" w:lineRule="auto"/>
              <w:rPr>
                <w:rFonts w:ascii="Calibri" w:hAnsi="Calibri" w:eastAsia="MS Mincho"/>
                <w:bCs/>
                <w:sz w:val="20"/>
                <w:szCs w:val="20"/>
                <w:lang w:eastAsia="ja-JP"/>
              </w:rPr>
            </w:pPr>
            <w:r>
              <w:rPr>
                <w:rFonts w:hint="eastAsia" w:ascii="Calibri" w:hAnsi="Calibri" w:eastAsia="MS Mincho"/>
                <w:bCs/>
                <w:sz w:val="20"/>
                <w:szCs w:val="20"/>
                <w:lang w:eastAsia="ja-JP"/>
              </w:rPr>
              <w:t>2．功能用</w:t>
            </w:r>
            <w:r>
              <w:rPr>
                <w:rFonts w:hint="eastAsia"/>
                <w:bCs/>
                <w:sz w:val="20"/>
                <w:szCs w:val="20"/>
                <w:lang w:eastAsia="ja-JP"/>
              </w:rPr>
              <w:t>语</w:t>
            </w:r>
            <w:r>
              <w:rPr>
                <w:rFonts w:hint="eastAsia" w:ascii="MS Mincho" w:hAnsi="MS Mincho" w:eastAsia="MS Mincho" w:cs="MS Mincho"/>
                <w:bCs/>
                <w:sz w:val="20"/>
                <w:szCs w:val="20"/>
                <w:lang w:eastAsia="ja-JP"/>
              </w:rPr>
              <w:t>（助言、申し出る、ことづける、伝える、比例）。</w:t>
            </w:r>
          </w:p>
          <w:p w14:paraId="56AD19D5">
            <w:pPr>
              <w:spacing w:line="288" w:lineRule="auto"/>
              <w:rPr>
                <w:rFonts w:ascii="Calibri" w:hAnsi="Calibri" w:eastAsia="MS Mincho"/>
                <w:bCs/>
                <w:sz w:val="20"/>
                <w:szCs w:val="20"/>
                <w:lang w:eastAsia="ja-JP"/>
              </w:rPr>
            </w:pPr>
            <w:r>
              <w:rPr>
                <w:rFonts w:hint="eastAsia" w:ascii="Calibri" w:hAnsi="Calibri" w:eastAsia="MS Mincho"/>
                <w:bCs/>
                <w:sz w:val="20"/>
                <w:szCs w:val="20"/>
                <w:lang w:eastAsia="ja-JP"/>
              </w:rPr>
              <w:t>3．部分</w:t>
            </w:r>
            <w:r>
              <w:rPr>
                <w:rFonts w:hint="eastAsia"/>
                <w:bCs/>
                <w:sz w:val="20"/>
                <w:szCs w:val="20"/>
                <w:lang w:eastAsia="ja-JP"/>
              </w:rPr>
              <w:t>惯</w:t>
            </w:r>
            <w:r>
              <w:rPr>
                <w:rFonts w:hint="eastAsia" w:ascii="MS Mincho" w:hAnsi="MS Mincho" w:eastAsia="MS Mincho" w:cs="MS Mincho"/>
                <w:bCs/>
                <w:sz w:val="20"/>
                <w:szCs w:val="20"/>
                <w:lang w:eastAsia="ja-JP"/>
              </w:rPr>
              <w:t>用</w:t>
            </w:r>
            <w:r>
              <w:rPr>
                <w:rFonts w:hint="eastAsia"/>
                <w:bCs/>
                <w:sz w:val="20"/>
                <w:szCs w:val="20"/>
                <w:lang w:eastAsia="ja-JP"/>
              </w:rPr>
              <w:t>语</w:t>
            </w:r>
            <w:r>
              <w:rPr>
                <w:rFonts w:hint="eastAsia" w:ascii="MS Mincho" w:hAnsi="MS Mincho" w:eastAsia="MS Mincho" w:cs="MS Mincho"/>
                <w:bCs/>
                <w:sz w:val="20"/>
                <w:szCs w:val="20"/>
                <w:lang w:eastAsia="ja-JP"/>
              </w:rPr>
              <w:t>，如「手を打つ」、「にして」</w:t>
            </w:r>
            <w:r>
              <w:rPr>
                <w:rFonts w:hint="eastAsia" w:ascii="Calibri" w:hAnsi="Calibri"/>
                <w:bCs/>
                <w:sz w:val="20"/>
                <w:szCs w:val="20"/>
                <w:lang w:eastAsia="ja-JP"/>
              </w:rPr>
              <w:t>构成的惯用语</w:t>
            </w:r>
            <w:r>
              <w:rPr>
                <w:rFonts w:hint="eastAsia" w:ascii="Calibri" w:hAnsi="Calibri" w:eastAsia="MS Mincho"/>
                <w:bCs/>
                <w:sz w:val="20"/>
                <w:szCs w:val="20"/>
                <w:lang w:eastAsia="ja-JP"/>
              </w:rPr>
              <w:t>的意</w:t>
            </w:r>
            <w:r>
              <w:rPr>
                <w:rFonts w:hint="eastAsia"/>
                <w:bCs/>
                <w:sz w:val="20"/>
                <w:szCs w:val="20"/>
                <w:lang w:eastAsia="ja-JP"/>
              </w:rPr>
              <w:t>义</w:t>
            </w:r>
            <w:r>
              <w:rPr>
                <w:rFonts w:hint="eastAsia" w:ascii="MS Mincho" w:hAnsi="MS Mincho" w:eastAsia="MS Mincho" w:cs="MS Mincho"/>
                <w:bCs/>
                <w:sz w:val="20"/>
                <w:szCs w:val="20"/>
                <w:lang w:eastAsia="ja-JP"/>
              </w:rPr>
              <w:t>与用法。</w:t>
            </w:r>
          </w:p>
          <w:p w14:paraId="49C4D918">
            <w:pPr>
              <w:spacing w:line="288" w:lineRule="auto"/>
              <w:rPr>
                <w:rFonts w:ascii="Calibri" w:hAnsi="Calibri" w:eastAsia="MS Mincho"/>
                <w:bCs/>
                <w:sz w:val="20"/>
                <w:szCs w:val="20"/>
                <w:lang w:eastAsia="ja-JP"/>
              </w:rPr>
            </w:pPr>
            <w:r>
              <w:rPr>
                <w:rFonts w:hint="eastAsia" w:ascii="Calibri" w:hAnsi="Calibri" w:eastAsia="MS Mincho"/>
                <w:bCs/>
                <w:sz w:val="20"/>
                <w:szCs w:val="20"/>
                <w:lang w:eastAsia="ja-JP"/>
              </w:rPr>
              <w:t>4．接</w:t>
            </w:r>
            <w:r>
              <w:rPr>
                <w:rFonts w:hint="eastAsia" w:ascii="Calibri" w:hAnsi="Calibri"/>
                <w:bCs/>
                <w:sz w:val="20"/>
                <w:szCs w:val="20"/>
                <w:lang w:eastAsia="ja-JP"/>
              </w:rPr>
              <w:t>头</w:t>
            </w:r>
            <w:r>
              <w:rPr>
                <w:rFonts w:hint="eastAsia"/>
                <w:bCs/>
                <w:sz w:val="20"/>
                <w:szCs w:val="20"/>
                <w:lang w:eastAsia="ja-JP"/>
              </w:rPr>
              <w:t>词</w:t>
            </w:r>
            <w:r>
              <w:rPr>
                <w:rFonts w:hint="eastAsia" w:ascii="MS Mincho" w:hAnsi="MS Mincho" w:eastAsia="MS Mincho" w:cs="MS Mincho"/>
                <w:bCs/>
                <w:sz w:val="20"/>
                <w:szCs w:val="20"/>
                <w:lang w:eastAsia="ja-JP"/>
              </w:rPr>
              <w:t>「無・非・不」</w:t>
            </w:r>
            <w:r>
              <w:rPr>
                <w:rFonts w:hint="eastAsia" w:ascii="Calibri" w:hAnsi="Calibri"/>
                <w:bCs/>
                <w:sz w:val="20"/>
                <w:szCs w:val="20"/>
                <w:lang w:eastAsia="ja-JP"/>
              </w:rPr>
              <w:t>和接尾词</w:t>
            </w:r>
            <w:r>
              <w:rPr>
                <w:rFonts w:hint="eastAsia" w:ascii="Calibri" w:hAnsi="Calibri" w:eastAsia="MS Mincho"/>
                <w:bCs/>
                <w:sz w:val="20"/>
                <w:szCs w:val="20"/>
                <w:lang w:eastAsia="ja-JP"/>
              </w:rPr>
              <w:t>「目」的意</w:t>
            </w:r>
            <w:r>
              <w:rPr>
                <w:rFonts w:hint="eastAsia"/>
                <w:bCs/>
                <w:sz w:val="20"/>
                <w:szCs w:val="20"/>
                <w:lang w:eastAsia="ja-JP"/>
              </w:rPr>
              <w:t>义</w:t>
            </w:r>
            <w:r>
              <w:rPr>
                <w:rFonts w:hint="eastAsia" w:ascii="MS Mincho" w:hAnsi="MS Mincho" w:eastAsia="MS Mincho" w:cs="MS Mincho"/>
                <w:bCs/>
                <w:sz w:val="20"/>
                <w:szCs w:val="20"/>
                <w:lang w:eastAsia="ja-JP"/>
              </w:rPr>
              <w:t>与用法。</w:t>
            </w:r>
          </w:p>
          <w:p w14:paraId="1FC949F5">
            <w:pPr>
              <w:snapToGrid w:val="0"/>
              <w:spacing w:line="288" w:lineRule="auto"/>
              <w:rPr>
                <w:rFonts w:ascii="Times New Roman" w:hAnsi="Times New Roman" w:cs="Times New Roman" w:eastAsiaTheme="minorEastAsia"/>
                <w:color w:val="000000"/>
                <w:sz w:val="20"/>
                <w:szCs w:val="20"/>
                <w:lang w:eastAsia="ja-JP"/>
              </w:rPr>
            </w:pPr>
          </w:p>
        </w:tc>
        <w:tc>
          <w:tcPr>
            <w:tcW w:w="1370" w:type="pct"/>
            <w:shd w:val="clear" w:color="auto" w:fill="auto"/>
          </w:tcPr>
          <w:p w14:paraId="0827067D">
            <w:pPr>
              <w:spacing w:line="288" w:lineRule="auto"/>
              <w:rPr>
                <w:rFonts w:ascii="Calibri" w:hAnsi="Calibri"/>
                <w:bCs/>
                <w:sz w:val="20"/>
                <w:szCs w:val="20"/>
              </w:rPr>
            </w:pPr>
            <w:r>
              <w:rPr>
                <w:rFonts w:hint="eastAsia" w:ascii="Calibri" w:hAnsi="Calibri"/>
                <w:bCs/>
                <w:sz w:val="20"/>
                <w:szCs w:val="20"/>
              </w:rPr>
              <w:t>1.结合课文详细讲解文中出现的新单词、新句型的用法。</w:t>
            </w:r>
          </w:p>
          <w:p w14:paraId="5C308BA7">
            <w:pPr>
              <w:spacing w:line="288" w:lineRule="auto"/>
              <w:rPr>
                <w:rFonts w:ascii="Calibri" w:hAnsi="Calibri"/>
                <w:bCs/>
                <w:sz w:val="20"/>
                <w:szCs w:val="20"/>
                <w:lang w:eastAsia="ja-JP"/>
              </w:rPr>
            </w:pPr>
            <w:r>
              <w:rPr>
                <w:rFonts w:hint="eastAsia" w:ascii="Calibri" w:hAnsi="Calibri"/>
                <w:bCs/>
                <w:sz w:val="20"/>
                <w:szCs w:val="20"/>
                <w:lang w:eastAsia="ja-JP"/>
              </w:rPr>
              <w:t>2.通过课文的学习了解日本人的</w:t>
            </w:r>
            <w:r>
              <w:rPr>
                <w:rFonts w:hint="eastAsia" w:ascii="Calibri" w:hAnsi="Calibri" w:eastAsia="MS Mincho"/>
                <w:bCs/>
                <w:sz w:val="20"/>
                <w:szCs w:val="20"/>
                <w:lang w:eastAsia="ja-JP"/>
              </w:rPr>
              <w:t>「本音と建前」</w:t>
            </w:r>
            <w:r>
              <w:rPr>
                <w:rFonts w:hint="eastAsia" w:ascii="Calibri" w:hAnsi="Calibri"/>
                <w:bCs/>
                <w:sz w:val="20"/>
                <w:szCs w:val="20"/>
                <w:lang w:eastAsia="ja-JP"/>
              </w:rPr>
              <w:t>、垃圾分类、公害问题及环境保护对策，能围绕课文主题进行简单的日语会话。</w:t>
            </w:r>
          </w:p>
          <w:p w14:paraId="4D6A5FE2">
            <w:pPr>
              <w:snapToGrid w:val="0"/>
              <w:spacing w:line="288" w:lineRule="auto"/>
              <w:rPr>
                <w:rFonts w:ascii="Times New Roman" w:hAnsi="Times New Roman" w:cs="Times New Roman" w:eastAsiaTheme="minorEastAsia"/>
                <w:sz w:val="20"/>
                <w:szCs w:val="20"/>
              </w:rPr>
            </w:pPr>
            <w:r>
              <w:rPr>
                <w:rFonts w:hint="eastAsia" w:ascii="Calibri" w:hAnsi="Calibri"/>
                <w:bCs/>
                <w:sz w:val="20"/>
                <w:szCs w:val="20"/>
              </w:rPr>
              <w:t>3.运用本课的新单词和新语法，完成课后练习，中日互译。</w:t>
            </w:r>
          </w:p>
        </w:tc>
        <w:tc>
          <w:tcPr>
            <w:tcW w:w="1326" w:type="pct"/>
            <w:shd w:val="clear" w:color="auto" w:fill="auto"/>
          </w:tcPr>
          <w:p w14:paraId="04ED2F41">
            <w:pPr>
              <w:spacing w:line="288" w:lineRule="auto"/>
              <w:rPr>
                <w:rFonts w:ascii="Calibri" w:hAnsi="Calibri"/>
                <w:bCs/>
                <w:sz w:val="20"/>
                <w:szCs w:val="20"/>
              </w:rPr>
            </w:pPr>
            <w:r>
              <w:rPr>
                <w:rFonts w:hint="eastAsia" w:ascii="Calibri" w:hAnsi="Calibri"/>
                <w:bCs/>
                <w:sz w:val="20"/>
                <w:szCs w:val="20"/>
              </w:rPr>
              <w:t>1</w:t>
            </w:r>
            <w:r>
              <w:rPr>
                <w:rFonts w:ascii="Calibri" w:hAnsi="Calibri"/>
                <w:bCs/>
                <w:sz w:val="20"/>
                <w:szCs w:val="20"/>
              </w:rPr>
              <w:t>.</w:t>
            </w:r>
            <w:r>
              <w:rPr>
                <w:rFonts w:hint="eastAsia" w:ascii="Calibri" w:hAnsi="Calibri"/>
                <w:bCs/>
                <w:sz w:val="20"/>
                <w:szCs w:val="20"/>
              </w:rPr>
              <w:t>能够熟记单词。</w:t>
            </w:r>
          </w:p>
          <w:p w14:paraId="1A3A9566">
            <w:pPr>
              <w:spacing w:line="288" w:lineRule="auto"/>
              <w:rPr>
                <w:rFonts w:ascii="Calibri" w:hAnsi="Calibri"/>
                <w:bCs/>
                <w:sz w:val="20"/>
                <w:szCs w:val="20"/>
              </w:rPr>
            </w:pPr>
            <w:r>
              <w:rPr>
                <w:rFonts w:hint="eastAsia" w:ascii="Calibri" w:hAnsi="Calibri"/>
                <w:bCs/>
                <w:sz w:val="20"/>
                <w:szCs w:val="20"/>
              </w:rPr>
              <w:t>2</w:t>
            </w:r>
            <w:r>
              <w:rPr>
                <w:rFonts w:ascii="Calibri" w:hAnsi="Calibri"/>
                <w:bCs/>
                <w:sz w:val="20"/>
                <w:szCs w:val="20"/>
              </w:rPr>
              <w:t>.</w:t>
            </w:r>
            <w:r>
              <w:rPr>
                <w:rFonts w:hint="eastAsia" w:ascii="Calibri" w:hAnsi="Calibri"/>
                <w:bCs/>
                <w:sz w:val="20"/>
                <w:szCs w:val="20"/>
              </w:rPr>
              <w:t>能够熟读课文，能背诵课文重点段落，能正确理解新单词和新语法在文中的意义。</w:t>
            </w:r>
          </w:p>
          <w:p w14:paraId="54823A27">
            <w:pPr>
              <w:spacing w:line="288" w:lineRule="auto"/>
              <w:rPr>
                <w:rFonts w:ascii="Calibri" w:hAnsi="Calibri"/>
                <w:bCs/>
                <w:sz w:val="20"/>
                <w:szCs w:val="20"/>
              </w:rPr>
            </w:pPr>
            <w:r>
              <w:rPr>
                <w:rFonts w:hint="eastAsia" w:ascii="Calibri" w:hAnsi="Calibri"/>
                <w:bCs/>
                <w:sz w:val="20"/>
                <w:szCs w:val="20"/>
              </w:rPr>
              <w:t>3</w:t>
            </w:r>
            <w:r>
              <w:rPr>
                <w:rFonts w:ascii="Calibri" w:hAnsi="Calibri"/>
                <w:bCs/>
                <w:sz w:val="20"/>
                <w:szCs w:val="20"/>
              </w:rPr>
              <w:t>.</w:t>
            </w:r>
            <w:r>
              <w:rPr>
                <w:rFonts w:hint="eastAsia" w:ascii="Calibri" w:hAnsi="Calibri"/>
                <w:bCs/>
                <w:sz w:val="20"/>
                <w:szCs w:val="20"/>
              </w:rPr>
              <w:t>能模仿会话文内容，围绕日本文化进行课堂会话。</w:t>
            </w:r>
          </w:p>
          <w:p w14:paraId="22FDCAAD">
            <w:pPr>
              <w:spacing w:line="288" w:lineRule="auto"/>
              <w:rPr>
                <w:rFonts w:ascii="Calibri" w:hAnsi="Calibri"/>
                <w:bCs/>
                <w:sz w:val="20"/>
                <w:szCs w:val="20"/>
              </w:rPr>
            </w:pPr>
            <w:r>
              <w:rPr>
                <w:rFonts w:hint="eastAsia" w:ascii="Calibri" w:hAnsi="Calibri"/>
                <w:bCs/>
                <w:sz w:val="20"/>
                <w:szCs w:val="20"/>
              </w:rPr>
              <w:t>4</w:t>
            </w:r>
            <w:r>
              <w:rPr>
                <w:rFonts w:ascii="Calibri" w:hAnsi="Calibri"/>
                <w:bCs/>
                <w:sz w:val="20"/>
                <w:szCs w:val="20"/>
              </w:rPr>
              <w:t>.</w:t>
            </w:r>
            <w:r>
              <w:rPr>
                <w:rFonts w:hint="eastAsia" w:ascii="Calibri" w:hAnsi="Calibri"/>
                <w:bCs/>
                <w:sz w:val="20"/>
                <w:szCs w:val="20"/>
              </w:rPr>
              <w:t>帮助学生分析理解应用文的主要内容，提高学生的日语阅读能力。</w:t>
            </w:r>
          </w:p>
          <w:p w14:paraId="7D5526E3">
            <w:pPr>
              <w:snapToGrid w:val="0"/>
              <w:spacing w:line="288" w:lineRule="auto"/>
              <w:rPr>
                <w:rFonts w:ascii="Times New Roman" w:hAnsi="Times New Roman" w:cs="Times New Roman" w:eastAsiaTheme="minorEastAsia"/>
                <w:color w:val="000000"/>
                <w:sz w:val="20"/>
                <w:szCs w:val="20"/>
              </w:rPr>
            </w:pPr>
          </w:p>
        </w:tc>
      </w:tr>
      <w:tr w14:paraId="43838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29" w:type="pct"/>
            <w:shd w:val="clear" w:color="auto" w:fill="auto"/>
            <w:vAlign w:val="center"/>
          </w:tcPr>
          <w:p w14:paraId="117181D7">
            <w:pPr>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3</w:t>
            </w:r>
          </w:p>
        </w:tc>
        <w:tc>
          <w:tcPr>
            <w:tcW w:w="662" w:type="pct"/>
          </w:tcPr>
          <w:p w14:paraId="4A8EC1EA">
            <w:pPr>
              <w:spacing w:line="288" w:lineRule="auto"/>
              <w:rPr>
                <w:rFonts w:ascii="Calibri" w:hAnsi="Calibri" w:eastAsia="MS Mincho"/>
                <w:bCs/>
                <w:sz w:val="20"/>
                <w:szCs w:val="20"/>
                <w:lang w:eastAsia="ja-JP"/>
              </w:rPr>
            </w:pPr>
            <w:r>
              <w:rPr>
                <w:rFonts w:hint="eastAsia" w:ascii="Calibri" w:hAnsi="Calibri" w:eastAsia="MS Mincho"/>
                <w:bCs/>
                <w:sz w:val="20"/>
                <w:szCs w:val="20"/>
                <w:lang w:eastAsia="ja-JP"/>
              </w:rPr>
              <w:t>　</w:t>
            </w:r>
          </w:p>
          <w:p w14:paraId="61B1F94F">
            <w:pPr>
              <w:spacing w:line="288" w:lineRule="auto"/>
              <w:rPr>
                <w:rFonts w:ascii="Calibri" w:hAnsi="Calibri" w:eastAsia="MS Mincho"/>
                <w:bCs/>
                <w:sz w:val="20"/>
                <w:szCs w:val="20"/>
                <w:lang w:eastAsia="ja-JP"/>
              </w:rPr>
            </w:pPr>
            <w:r>
              <w:rPr>
                <w:rFonts w:hint="eastAsia" w:ascii="Calibri" w:hAnsi="Calibri"/>
                <w:bCs/>
                <w:sz w:val="20"/>
                <w:szCs w:val="20"/>
                <w:lang w:eastAsia="ja-JP"/>
              </w:rPr>
              <w:t>1.</w:t>
            </w:r>
            <w:r>
              <w:rPr>
                <w:rFonts w:hint="eastAsia" w:ascii="Calibri" w:hAnsi="Calibri" w:eastAsia="MS Mincho"/>
                <w:bCs/>
                <w:sz w:val="20"/>
                <w:szCs w:val="20"/>
                <w:lang w:eastAsia="ja-JP"/>
              </w:rPr>
              <w:t>日本語の学習</w:t>
            </w:r>
          </w:p>
          <w:p w14:paraId="03B63A99">
            <w:pPr>
              <w:spacing w:line="288" w:lineRule="auto"/>
              <w:rPr>
                <w:rFonts w:ascii="Calibri" w:hAnsi="Calibri" w:eastAsia="MS Mincho"/>
                <w:bCs/>
                <w:sz w:val="20"/>
                <w:szCs w:val="20"/>
                <w:lang w:eastAsia="ja-JP"/>
              </w:rPr>
            </w:pPr>
            <w:r>
              <w:rPr>
                <w:rFonts w:hint="eastAsia" w:ascii="Calibri" w:hAnsi="Calibri"/>
                <w:bCs/>
                <w:sz w:val="20"/>
                <w:szCs w:val="20"/>
                <w:lang w:eastAsia="ja-JP"/>
              </w:rPr>
              <w:t>2.</w:t>
            </w:r>
            <w:r>
              <w:rPr>
                <w:rFonts w:hint="eastAsia" w:ascii="Calibri" w:hAnsi="Calibri" w:eastAsia="MS Mincho"/>
                <w:bCs/>
                <w:sz w:val="20"/>
                <w:szCs w:val="20"/>
                <w:lang w:eastAsia="ja-JP"/>
              </w:rPr>
              <w:t>あいまい語について</w:t>
            </w:r>
          </w:p>
          <w:p w14:paraId="00F2AC78">
            <w:pPr>
              <w:spacing w:line="288" w:lineRule="auto"/>
              <w:rPr>
                <w:rFonts w:ascii="Calibri" w:hAnsi="Calibri" w:eastAsia="MS Mincho"/>
                <w:bCs/>
                <w:sz w:val="20"/>
                <w:szCs w:val="20"/>
                <w:lang w:eastAsia="ja-JP"/>
              </w:rPr>
            </w:pPr>
            <w:r>
              <w:rPr>
                <w:rFonts w:hint="eastAsia" w:ascii="Calibri" w:hAnsi="Calibri"/>
                <w:bCs/>
                <w:sz w:val="20"/>
                <w:szCs w:val="20"/>
                <w:lang w:eastAsia="ja-JP"/>
              </w:rPr>
              <w:t>3.</w:t>
            </w:r>
            <w:r>
              <w:rPr>
                <w:rFonts w:hint="eastAsia" w:ascii="Calibri" w:hAnsi="Calibri" w:eastAsia="MS Mincho"/>
                <w:bCs/>
                <w:sz w:val="20"/>
                <w:szCs w:val="20"/>
                <w:lang w:eastAsia="ja-JP"/>
              </w:rPr>
              <w:t>擬声語と擬態語</w:t>
            </w:r>
          </w:p>
          <w:p w14:paraId="78CF2380">
            <w:pPr>
              <w:snapToGrid w:val="0"/>
              <w:spacing w:line="288" w:lineRule="auto"/>
              <w:rPr>
                <w:rFonts w:ascii="Times New Roman" w:hAnsi="Times New Roman" w:cs="Times New Roman" w:eastAsiaTheme="minorEastAsia"/>
                <w:color w:val="000000"/>
                <w:sz w:val="20"/>
                <w:szCs w:val="20"/>
                <w:lang w:eastAsia="ja-JP"/>
              </w:rPr>
            </w:pPr>
            <w:r>
              <w:rPr>
                <w:rFonts w:hint="eastAsia" w:ascii="Calibri" w:hAnsi="Calibri"/>
                <w:bCs/>
                <w:sz w:val="20"/>
                <w:szCs w:val="20"/>
                <w:lang w:eastAsia="ja-JP"/>
              </w:rPr>
              <w:t>4.</w:t>
            </w:r>
            <w:r>
              <w:rPr>
                <w:rFonts w:hint="eastAsia" w:ascii="Calibri" w:hAnsi="Calibri" w:eastAsia="MS Mincho"/>
                <w:bCs/>
                <w:sz w:val="20"/>
                <w:szCs w:val="20"/>
                <w:lang w:eastAsia="ja-JP"/>
              </w:rPr>
              <w:t>ことわざ</w:t>
            </w:r>
          </w:p>
        </w:tc>
        <w:tc>
          <w:tcPr>
            <w:tcW w:w="1113" w:type="pct"/>
            <w:shd w:val="clear" w:color="auto" w:fill="auto"/>
          </w:tcPr>
          <w:p w14:paraId="3D91D046">
            <w:pPr>
              <w:spacing w:line="288" w:lineRule="auto"/>
              <w:rPr>
                <w:rFonts w:ascii="Calibri" w:hAnsi="Calibri" w:eastAsia="MS Mincho"/>
                <w:bCs/>
                <w:sz w:val="20"/>
                <w:szCs w:val="20"/>
                <w:lang w:eastAsia="ja-JP"/>
              </w:rPr>
            </w:pPr>
            <w:r>
              <w:rPr>
                <w:rFonts w:hint="eastAsia" w:ascii="Calibri" w:hAnsi="Calibri" w:eastAsia="MS Mincho"/>
                <w:bCs/>
                <w:sz w:val="20"/>
                <w:szCs w:val="20"/>
                <w:lang w:eastAsia="ja-JP"/>
              </w:rPr>
              <w:t>1．相关</w:t>
            </w:r>
            <w:r>
              <w:rPr>
                <w:rFonts w:hint="eastAsia"/>
                <w:bCs/>
                <w:sz w:val="20"/>
                <w:szCs w:val="20"/>
                <w:lang w:eastAsia="ja-JP"/>
              </w:rPr>
              <w:t>语</w:t>
            </w:r>
            <w:r>
              <w:rPr>
                <w:rFonts w:hint="eastAsia" w:ascii="MS Mincho" w:hAnsi="MS Mincho" w:eastAsia="MS Mincho" w:cs="MS Mincho"/>
                <w:bCs/>
                <w:sz w:val="20"/>
                <w:szCs w:val="20"/>
                <w:lang w:eastAsia="ja-JP"/>
              </w:rPr>
              <w:t>法与句型。</w:t>
            </w:r>
          </w:p>
          <w:p w14:paraId="1DEFECAA">
            <w:pPr>
              <w:spacing w:line="288" w:lineRule="auto"/>
              <w:rPr>
                <w:rFonts w:ascii="Calibri" w:hAnsi="Calibri" w:eastAsia="MS Mincho"/>
                <w:bCs/>
                <w:sz w:val="20"/>
                <w:szCs w:val="20"/>
                <w:lang w:eastAsia="ja-JP"/>
              </w:rPr>
            </w:pPr>
            <w:r>
              <w:rPr>
                <w:rFonts w:hint="eastAsia" w:ascii="Calibri" w:hAnsi="Calibri" w:eastAsia="MS Mincho"/>
                <w:bCs/>
                <w:sz w:val="20"/>
                <w:szCs w:val="20"/>
                <w:lang w:eastAsia="ja-JP"/>
              </w:rPr>
              <w:t>2．功能用</w:t>
            </w:r>
            <w:r>
              <w:rPr>
                <w:rFonts w:hint="eastAsia"/>
                <w:bCs/>
                <w:sz w:val="20"/>
                <w:szCs w:val="20"/>
                <w:lang w:eastAsia="ja-JP"/>
              </w:rPr>
              <w:t>语</w:t>
            </w:r>
            <w:r>
              <w:rPr>
                <w:rFonts w:hint="eastAsia" w:ascii="MS Mincho" w:hAnsi="MS Mincho" w:eastAsia="MS Mincho" w:cs="MS Mincho"/>
                <w:bCs/>
                <w:sz w:val="20"/>
                <w:szCs w:val="20"/>
                <w:lang w:eastAsia="ja-JP"/>
              </w:rPr>
              <w:t>（例証、概括、見積り、注釈）。</w:t>
            </w:r>
          </w:p>
          <w:p w14:paraId="18570A6E">
            <w:pPr>
              <w:spacing w:line="288" w:lineRule="auto"/>
              <w:rPr>
                <w:rFonts w:ascii="Calibri" w:hAnsi="Calibri"/>
                <w:bCs/>
                <w:sz w:val="20"/>
                <w:szCs w:val="20"/>
              </w:rPr>
            </w:pPr>
            <w:r>
              <w:rPr>
                <w:rFonts w:hint="eastAsia" w:ascii="Calibri" w:hAnsi="Calibri" w:eastAsia="MS Mincho"/>
                <w:bCs/>
                <w:sz w:val="20"/>
                <w:szCs w:val="20"/>
              </w:rPr>
              <w:t>3．</w:t>
            </w:r>
            <w:r>
              <w:rPr>
                <w:rFonts w:hint="eastAsia" w:ascii="Calibri" w:hAnsi="Calibri"/>
                <w:bCs/>
                <w:sz w:val="20"/>
                <w:szCs w:val="20"/>
              </w:rPr>
              <w:t>日语拟声词拟态词的使用。</w:t>
            </w:r>
          </w:p>
          <w:p w14:paraId="5E37DB2D">
            <w:pPr>
              <w:spacing w:line="288" w:lineRule="auto"/>
              <w:rPr>
                <w:rFonts w:ascii="Calibri" w:hAnsi="Calibri" w:eastAsia="MS Mincho"/>
                <w:bCs/>
                <w:sz w:val="20"/>
                <w:szCs w:val="20"/>
              </w:rPr>
            </w:pPr>
            <w:r>
              <w:rPr>
                <w:rFonts w:hint="eastAsia" w:ascii="Calibri" w:hAnsi="Calibri" w:eastAsia="MS Mincho"/>
                <w:bCs/>
                <w:sz w:val="20"/>
                <w:szCs w:val="20"/>
              </w:rPr>
              <w:t>4．</w:t>
            </w:r>
            <w:r>
              <w:rPr>
                <w:rFonts w:hint="eastAsia" w:ascii="Calibri" w:hAnsi="Calibri"/>
                <w:bCs/>
                <w:sz w:val="20"/>
                <w:szCs w:val="20"/>
              </w:rPr>
              <w:t>日语中常见谚语的意义与使用</w:t>
            </w:r>
            <w:r>
              <w:rPr>
                <w:rFonts w:hint="eastAsia" w:ascii="Calibri" w:hAnsi="Calibri" w:eastAsia="MS Mincho"/>
                <w:bCs/>
                <w:sz w:val="20"/>
                <w:szCs w:val="20"/>
              </w:rPr>
              <w:t>。</w:t>
            </w:r>
          </w:p>
          <w:p w14:paraId="1FE0368D">
            <w:pPr>
              <w:snapToGrid w:val="0"/>
              <w:spacing w:line="288" w:lineRule="auto"/>
              <w:rPr>
                <w:rFonts w:ascii="Times New Roman" w:hAnsi="Times New Roman" w:cs="Times New Roman" w:eastAsiaTheme="minorEastAsia"/>
                <w:color w:val="000000"/>
                <w:sz w:val="20"/>
                <w:szCs w:val="20"/>
                <w:lang w:eastAsia="ja-JP"/>
              </w:rPr>
            </w:pPr>
            <w:r>
              <w:rPr>
                <w:rFonts w:hint="eastAsia" w:ascii="Calibri" w:hAnsi="Calibri"/>
                <w:bCs/>
                <w:sz w:val="20"/>
                <w:szCs w:val="20"/>
                <w:lang w:eastAsia="ja-JP"/>
              </w:rPr>
              <w:t>5. 日语中的</w:t>
            </w:r>
            <w:r>
              <w:rPr>
                <w:rFonts w:hint="eastAsia" w:ascii="Calibri" w:hAnsi="Calibri" w:eastAsia="MS Mincho"/>
                <w:bCs/>
                <w:sz w:val="20"/>
                <w:szCs w:val="20"/>
                <w:lang w:eastAsia="ja-JP"/>
              </w:rPr>
              <w:t>「あいまい語」</w:t>
            </w:r>
            <w:r>
              <w:rPr>
                <w:rFonts w:hint="eastAsia" w:ascii="Calibri" w:hAnsi="Calibri"/>
                <w:bCs/>
                <w:sz w:val="20"/>
                <w:szCs w:val="20"/>
                <w:lang w:eastAsia="ja-JP"/>
              </w:rPr>
              <w:t>的使用。</w:t>
            </w:r>
          </w:p>
        </w:tc>
        <w:tc>
          <w:tcPr>
            <w:tcW w:w="1370" w:type="pct"/>
            <w:shd w:val="clear" w:color="auto" w:fill="auto"/>
          </w:tcPr>
          <w:p w14:paraId="77997398">
            <w:pPr>
              <w:spacing w:line="288" w:lineRule="auto"/>
              <w:rPr>
                <w:rFonts w:ascii="Calibri" w:hAnsi="Calibri"/>
                <w:bCs/>
                <w:sz w:val="20"/>
                <w:szCs w:val="20"/>
              </w:rPr>
            </w:pPr>
            <w:r>
              <w:rPr>
                <w:rFonts w:hint="eastAsia" w:ascii="Calibri" w:hAnsi="Calibri"/>
                <w:bCs/>
                <w:sz w:val="20"/>
                <w:szCs w:val="20"/>
              </w:rPr>
              <w:t>1.结合课文详细讲解文中出现的新单词、新句型的用法。</w:t>
            </w:r>
          </w:p>
          <w:p w14:paraId="54F48D25">
            <w:pPr>
              <w:spacing w:line="288" w:lineRule="auto"/>
              <w:rPr>
                <w:rFonts w:ascii="Calibri" w:hAnsi="Calibri"/>
                <w:bCs/>
                <w:sz w:val="20"/>
                <w:szCs w:val="20"/>
              </w:rPr>
            </w:pPr>
            <w:r>
              <w:rPr>
                <w:rFonts w:hint="eastAsia" w:ascii="Calibri" w:hAnsi="Calibri"/>
                <w:bCs/>
                <w:sz w:val="20"/>
                <w:szCs w:val="20"/>
              </w:rPr>
              <w:t>2.通过课文的学习掌握日语中常见的拟声词、拟态词。</w:t>
            </w:r>
          </w:p>
          <w:p w14:paraId="44D7B941">
            <w:pPr>
              <w:spacing w:line="288" w:lineRule="auto"/>
              <w:rPr>
                <w:rFonts w:ascii="Calibri" w:hAnsi="Calibri"/>
                <w:bCs/>
                <w:sz w:val="20"/>
                <w:szCs w:val="20"/>
              </w:rPr>
            </w:pPr>
            <w:r>
              <w:rPr>
                <w:rFonts w:hint="eastAsia" w:ascii="Calibri" w:hAnsi="Calibri"/>
                <w:bCs/>
                <w:sz w:val="20"/>
                <w:szCs w:val="20"/>
              </w:rPr>
              <w:t>3.学习课文中出现的谚语。</w:t>
            </w:r>
          </w:p>
          <w:p w14:paraId="22EAD346">
            <w:pPr>
              <w:snapToGrid w:val="0"/>
              <w:spacing w:line="288" w:lineRule="auto"/>
              <w:rPr>
                <w:rFonts w:ascii="Times New Roman" w:hAnsi="Times New Roman" w:cs="Times New Roman" w:eastAsiaTheme="minorEastAsia"/>
                <w:color w:val="000000"/>
                <w:sz w:val="20"/>
                <w:szCs w:val="20"/>
              </w:rPr>
            </w:pPr>
            <w:r>
              <w:rPr>
                <w:rFonts w:hint="eastAsia" w:ascii="Calibri" w:hAnsi="Calibri"/>
                <w:bCs/>
                <w:sz w:val="20"/>
                <w:szCs w:val="20"/>
              </w:rPr>
              <w:t>4.运用本课的新单词和新语法，完成课后练习，中日互译。</w:t>
            </w:r>
          </w:p>
        </w:tc>
        <w:tc>
          <w:tcPr>
            <w:tcW w:w="1326" w:type="pct"/>
            <w:shd w:val="clear" w:color="auto" w:fill="auto"/>
          </w:tcPr>
          <w:p w14:paraId="25B7E40C">
            <w:pPr>
              <w:spacing w:line="288" w:lineRule="auto"/>
              <w:rPr>
                <w:rFonts w:ascii="Calibri" w:hAnsi="Calibri"/>
                <w:bCs/>
                <w:sz w:val="20"/>
                <w:szCs w:val="20"/>
              </w:rPr>
            </w:pPr>
            <w:r>
              <w:rPr>
                <w:rFonts w:hint="eastAsia" w:ascii="Calibri" w:hAnsi="Calibri"/>
                <w:bCs/>
                <w:sz w:val="20"/>
                <w:szCs w:val="20"/>
              </w:rPr>
              <w:t>1.熟记单词。</w:t>
            </w:r>
          </w:p>
          <w:p w14:paraId="1AB45C01">
            <w:pPr>
              <w:spacing w:line="288" w:lineRule="auto"/>
              <w:rPr>
                <w:rFonts w:ascii="Calibri" w:hAnsi="Calibri"/>
                <w:bCs/>
                <w:sz w:val="20"/>
                <w:szCs w:val="20"/>
              </w:rPr>
            </w:pPr>
            <w:r>
              <w:rPr>
                <w:rFonts w:hint="eastAsia" w:ascii="Calibri" w:hAnsi="Calibri"/>
                <w:bCs/>
                <w:sz w:val="20"/>
                <w:szCs w:val="20"/>
              </w:rPr>
              <w:t>2.要求熟读课文，能背诵课文重点段落，能正确理解新单词和新语法在文中的意义。</w:t>
            </w:r>
          </w:p>
          <w:p w14:paraId="143A5C52">
            <w:pPr>
              <w:spacing w:line="288" w:lineRule="auto"/>
              <w:rPr>
                <w:rFonts w:ascii="Calibri" w:hAnsi="Calibri"/>
                <w:bCs/>
                <w:sz w:val="20"/>
                <w:szCs w:val="20"/>
              </w:rPr>
            </w:pPr>
            <w:r>
              <w:rPr>
                <w:rFonts w:hint="eastAsia" w:ascii="Calibri" w:hAnsi="Calibri"/>
                <w:bCs/>
                <w:sz w:val="20"/>
                <w:szCs w:val="20"/>
              </w:rPr>
              <w:t>3.要求能利用图书馆、互联网查找日语谚语，对中日文谚语进行比较学习。</w:t>
            </w:r>
          </w:p>
          <w:p w14:paraId="1DF473FB">
            <w:pPr>
              <w:spacing w:line="288" w:lineRule="auto"/>
              <w:rPr>
                <w:rFonts w:ascii="Calibri" w:hAnsi="Calibri"/>
                <w:bCs/>
                <w:sz w:val="20"/>
                <w:szCs w:val="20"/>
              </w:rPr>
            </w:pPr>
            <w:r>
              <w:rPr>
                <w:rFonts w:hint="eastAsia" w:ascii="Calibri" w:hAnsi="Calibri"/>
                <w:bCs/>
                <w:sz w:val="20"/>
                <w:szCs w:val="20"/>
              </w:rPr>
              <w:t>4.帮助学生分析理解应用文的主要内容，提高学生的日语阅读能力。</w:t>
            </w:r>
          </w:p>
          <w:p w14:paraId="461234E2">
            <w:pPr>
              <w:snapToGrid w:val="0"/>
              <w:spacing w:line="288" w:lineRule="auto"/>
              <w:rPr>
                <w:rFonts w:ascii="Times New Roman" w:hAnsi="Times New Roman" w:cs="Times New Roman" w:eastAsiaTheme="minorEastAsia"/>
                <w:color w:val="000000"/>
                <w:sz w:val="20"/>
                <w:szCs w:val="20"/>
              </w:rPr>
            </w:pPr>
            <w:r>
              <w:rPr>
                <w:rFonts w:hint="eastAsia" w:ascii="Calibri" w:hAnsi="Calibri"/>
                <w:bCs/>
                <w:sz w:val="20"/>
                <w:szCs w:val="20"/>
              </w:rPr>
              <w:t>5.通过练习考查本课知识的掌握情况。</w:t>
            </w:r>
          </w:p>
        </w:tc>
      </w:tr>
      <w:tr w14:paraId="425924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29" w:type="pct"/>
            <w:shd w:val="clear" w:color="auto" w:fill="auto"/>
            <w:vAlign w:val="center"/>
          </w:tcPr>
          <w:p w14:paraId="28DD36ED">
            <w:pPr>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4</w:t>
            </w:r>
          </w:p>
        </w:tc>
        <w:tc>
          <w:tcPr>
            <w:tcW w:w="662" w:type="pct"/>
          </w:tcPr>
          <w:p w14:paraId="4990E8FB">
            <w:pPr>
              <w:spacing w:line="288" w:lineRule="auto"/>
              <w:rPr>
                <w:rFonts w:ascii="Calibri" w:hAnsi="Calibri" w:eastAsia="MS Mincho"/>
                <w:bCs/>
                <w:sz w:val="20"/>
                <w:szCs w:val="20"/>
                <w:lang w:eastAsia="ja-JP"/>
              </w:rPr>
            </w:pPr>
            <w:r>
              <w:rPr>
                <w:rFonts w:hint="eastAsia" w:ascii="Calibri" w:hAnsi="Calibri" w:eastAsia="MS Mincho"/>
                <w:bCs/>
                <w:sz w:val="20"/>
                <w:szCs w:val="20"/>
                <w:lang w:eastAsia="ja-JP"/>
              </w:rPr>
              <w:t>　</w:t>
            </w:r>
          </w:p>
          <w:p w14:paraId="5746B894">
            <w:pPr>
              <w:spacing w:line="288" w:lineRule="auto"/>
              <w:rPr>
                <w:rFonts w:ascii="Calibri" w:hAnsi="Calibri" w:eastAsia="MS Mincho"/>
                <w:bCs/>
                <w:sz w:val="20"/>
                <w:szCs w:val="20"/>
                <w:lang w:eastAsia="ja-JP"/>
              </w:rPr>
            </w:pPr>
            <w:r>
              <w:rPr>
                <w:rFonts w:hint="eastAsia" w:ascii="Calibri" w:hAnsi="Calibri"/>
                <w:bCs/>
                <w:sz w:val="20"/>
                <w:szCs w:val="20"/>
                <w:lang w:eastAsia="ja-JP"/>
              </w:rPr>
              <w:t>1.</w:t>
            </w:r>
            <w:r>
              <w:rPr>
                <w:rFonts w:hint="eastAsia" w:ascii="Calibri" w:hAnsi="Calibri" w:eastAsia="MS Mincho"/>
                <w:bCs/>
                <w:sz w:val="20"/>
                <w:szCs w:val="20"/>
                <w:lang w:eastAsia="ja-JP"/>
              </w:rPr>
              <w:t>友好のために</w:t>
            </w:r>
          </w:p>
          <w:p w14:paraId="4F23E5F9">
            <w:pPr>
              <w:snapToGrid w:val="0"/>
              <w:spacing w:line="288" w:lineRule="auto"/>
              <w:rPr>
                <w:rFonts w:ascii="Times New Roman" w:hAnsi="Times New Roman" w:cs="Times New Roman" w:eastAsiaTheme="minorEastAsia"/>
                <w:color w:val="000000"/>
                <w:sz w:val="20"/>
                <w:szCs w:val="20"/>
                <w:lang w:eastAsia="ja-JP"/>
              </w:rPr>
            </w:pPr>
            <w:r>
              <w:rPr>
                <w:rFonts w:hint="eastAsia" w:ascii="Calibri" w:hAnsi="Calibri"/>
                <w:bCs/>
                <w:sz w:val="20"/>
                <w:szCs w:val="20"/>
                <w:lang w:eastAsia="ja-JP"/>
              </w:rPr>
              <w:t>2.</w:t>
            </w:r>
            <w:r>
              <w:rPr>
                <w:rFonts w:hint="eastAsia" w:ascii="Calibri" w:hAnsi="Calibri" w:eastAsia="MS Mincho"/>
                <w:bCs/>
                <w:sz w:val="20"/>
                <w:szCs w:val="20"/>
                <w:lang w:eastAsia="ja-JP"/>
              </w:rPr>
              <w:t>五十嵐勝さん</w:t>
            </w:r>
          </w:p>
        </w:tc>
        <w:tc>
          <w:tcPr>
            <w:tcW w:w="1113" w:type="pct"/>
            <w:shd w:val="clear" w:color="auto" w:fill="auto"/>
          </w:tcPr>
          <w:p w14:paraId="2F3A63FD">
            <w:pPr>
              <w:spacing w:line="288" w:lineRule="auto"/>
              <w:rPr>
                <w:rFonts w:ascii="Calibri" w:hAnsi="Calibri" w:eastAsia="MS Mincho"/>
                <w:bCs/>
                <w:sz w:val="20"/>
                <w:szCs w:val="20"/>
              </w:rPr>
            </w:pPr>
            <w:r>
              <w:rPr>
                <w:rFonts w:hint="eastAsia" w:ascii="Calibri" w:hAnsi="Calibri" w:eastAsia="MS Mincho"/>
                <w:bCs/>
                <w:sz w:val="20"/>
                <w:szCs w:val="20"/>
              </w:rPr>
              <w:t>1．相关</w:t>
            </w:r>
            <w:r>
              <w:rPr>
                <w:rFonts w:hint="eastAsia"/>
                <w:bCs/>
                <w:sz w:val="20"/>
                <w:szCs w:val="20"/>
              </w:rPr>
              <w:t>语</w:t>
            </w:r>
            <w:r>
              <w:rPr>
                <w:rFonts w:hint="eastAsia" w:ascii="MS Mincho" w:hAnsi="MS Mincho" w:eastAsia="MS Mincho" w:cs="MS Mincho"/>
                <w:bCs/>
                <w:sz w:val="20"/>
                <w:szCs w:val="20"/>
              </w:rPr>
              <w:t>法与句型。</w:t>
            </w:r>
          </w:p>
          <w:p w14:paraId="6E1AB547">
            <w:pPr>
              <w:spacing w:line="288" w:lineRule="auto"/>
              <w:rPr>
                <w:rFonts w:ascii="Calibri" w:hAnsi="Calibri" w:eastAsia="MS Mincho"/>
                <w:bCs/>
                <w:sz w:val="20"/>
                <w:szCs w:val="20"/>
              </w:rPr>
            </w:pPr>
            <w:r>
              <w:rPr>
                <w:rFonts w:hint="eastAsia" w:ascii="Calibri" w:hAnsi="Calibri" w:eastAsia="MS Mincho"/>
                <w:bCs/>
                <w:sz w:val="20"/>
                <w:szCs w:val="20"/>
              </w:rPr>
              <w:t>2．功能用</w:t>
            </w:r>
            <w:r>
              <w:rPr>
                <w:rFonts w:hint="eastAsia"/>
                <w:bCs/>
                <w:sz w:val="20"/>
                <w:szCs w:val="20"/>
              </w:rPr>
              <w:t>语</w:t>
            </w:r>
            <w:r>
              <w:rPr>
                <w:rFonts w:hint="eastAsia" w:ascii="MS Mincho" w:hAnsi="MS Mincho" w:eastAsia="MS Mincho" w:cs="MS Mincho"/>
                <w:bCs/>
                <w:sz w:val="20"/>
                <w:szCs w:val="20"/>
              </w:rPr>
              <w:t>（条件、色）。</w:t>
            </w:r>
          </w:p>
          <w:p w14:paraId="11A952DE">
            <w:pPr>
              <w:spacing w:line="288" w:lineRule="auto"/>
              <w:rPr>
                <w:rFonts w:ascii="Calibri" w:hAnsi="Calibri"/>
                <w:bCs/>
                <w:sz w:val="20"/>
                <w:szCs w:val="20"/>
              </w:rPr>
            </w:pPr>
            <w:r>
              <w:rPr>
                <w:rFonts w:hint="eastAsia" w:ascii="Calibri" w:hAnsi="Calibri" w:eastAsia="MS Mincho"/>
                <w:bCs/>
                <w:sz w:val="20"/>
                <w:szCs w:val="20"/>
              </w:rPr>
              <w:t>3．</w:t>
            </w:r>
            <w:r>
              <w:rPr>
                <w:rFonts w:hint="eastAsia" w:ascii="Calibri" w:hAnsi="Calibri"/>
                <w:bCs/>
                <w:sz w:val="20"/>
                <w:szCs w:val="20"/>
              </w:rPr>
              <w:t>部分接头词</w:t>
            </w:r>
            <w:r>
              <w:rPr>
                <w:rFonts w:hint="eastAsia" w:ascii="Calibri" w:hAnsi="Calibri" w:eastAsia="MS Mincho"/>
                <w:bCs/>
                <w:sz w:val="20"/>
                <w:szCs w:val="20"/>
              </w:rPr>
              <w:t>「真」</w:t>
            </w:r>
            <w:r>
              <w:rPr>
                <w:rFonts w:hint="eastAsia" w:ascii="Calibri" w:hAnsi="Calibri"/>
                <w:bCs/>
                <w:sz w:val="20"/>
                <w:szCs w:val="20"/>
              </w:rPr>
              <w:t>接尾词</w:t>
            </w:r>
            <w:r>
              <w:rPr>
                <w:rFonts w:hint="eastAsia" w:ascii="Calibri" w:hAnsi="Calibri" w:eastAsia="MS Mincho"/>
                <w:bCs/>
                <w:sz w:val="20"/>
                <w:szCs w:val="20"/>
              </w:rPr>
              <w:t>「役」</w:t>
            </w:r>
            <w:r>
              <w:rPr>
                <w:rFonts w:hint="eastAsia" w:ascii="Calibri" w:hAnsi="Calibri"/>
                <w:bCs/>
                <w:sz w:val="20"/>
                <w:szCs w:val="20"/>
              </w:rPr>
              <w:t>的意义与用法。</w:t>
            </w:r>
          </w:p>
          <w:p w14:paraId="27DCBBAF">
            <w:pPr>
              <w:snapToGrid w:val="0"/>
              <w:spacing w:line="288" w:lineRule="auto"/>
              <w:rPr>
                <w:rFonts w:ascii="Times New Roman" w:hAnsi="Times New Roman" w:cs="Times New Roman" w:eastAsiaTheme="minorEastAsia"/>
                <w:color w:val="000000"/>
                <w:sz w:val="20"/>
                <w:szCs w:val="20"/>
                <w:lang w:eastAsia="ja-JP"/>
              </w:rPr>
            </w:pPr>
            <w:r>
              <w:rPr>
                <w:rFonts w:hint="eastAsia" w:ascii="Calibri" w:hAnsi="Calibri"/>
                <w:bCs/>
                <w:sz w:val="20"/>
                <w:szCs w:val="20"/>
                <w:lang w:eastAsia="ja-JP"/>
              </w:rPr>
              <w:t>4. 部分日语副词</w:t>
            </w:r>
            <w:r>
              <w:rPr>
                <w:rFonts w:hint="eastAsia" w:ascii="Calibri" w:hAnsi="Calibri" w:eastAsia="MS Mincho"/>
                <w:bCs/>
                <w:sz w:val="20"/>
                <w:szCs w:val="20"/>
                <w:lang w:eastAsia="ja-JP"/>
              </w:rPr>
              <w:t>「まるで」「まず」</w:t>
            </w:r>
            <w:r>
              <w:rPr>
                <w:rFonts w:hint="eastAsia" w:ascii="Calibri" w:hAnsi="Calibri"/>
                <w:bCs/>
                <w:sz w:val="20"/>
                <w:szCs w:val="20"/>
                <w:lang w:eastAsia="ja-JP"/>
              </w:rPr>
              <w:t>的意义与用法。</w:t>
            </w:r>
          </w:p>
        </w:tc>
        <w:tc>
          <w:tcPr>
            <w:tcW w:w="1370" w:type="pct"/>
            <w:shd w:val="clear" w:color="auto" w:fill="auto"/>
          </w:tcPr>
          <w:p w14:paraId="5A18E26B">
            <w:pPr>
              <w:spacing w:line="288" w:lineRule="auto"/>
              <w:rPr>
                <w:rFonts w:ascii="Calibri" w:hAnsi="Calibri"/>
                <w:bCs/>
                <w:sz w:val="20"/>
                <w:szCs w:val="20"/>
              </w:rPr>
            </w:pPr>
            <w:r>
              <w:rPr>
                <w:rFonts w:hint="eastAsia" w:ascii="Calibri" w:hAnsi="Calibri"/>
                <w:bCs/>
                <w:sz w:val="20"/>
                <w:szCs w:val="20"/>
              </w:rPr>
              <w:t>1.结合课文详细讲解文中出现的新单词、新句型的用法。</w:t>
            </w:r>
          </w:p>
          <w:p w14:paraId="07B30568">
            <w:pPr>
              <w:spacing w:line="288" w:lineRule="auto"/>
              <w:rPr>
                <w:rFonts w:ascii="Calibri" w:hAnsi="Calibri"/>
                <w:bCs/>
                <w:sz w:val="20"/>
                <w:szCs w:val="20"/>
              </w:rPr>
            </w:pPr>
            <w:r>
              <w:rPr>
                <w:rFonts w:hint="eastAsia" w:ascii="Calibri" w:hAnsi="Calibri"/>
                <w:bCs/>
                <w:sz w:val="20"/>
                <w:szCs w:val="20"/>
              </w:rPr>
              <w:t>2.通过课文的学习了解中日两国在经济、文化方面的交流，能围绕课文主题进行简单的日语会话。</w:t>
            </w:r>
          </w:p>
          <w:p w14:paraId="79E314C9">
            <w:pPr>
              <w:spacing w:line="288" w:lineRule="auto"/>
              <w:rPr>
                <w:rFonts w:ascii="Calibri" w:hAnsi="Calibri"/>
                <w:bCs/>
                <w:sz w:val="20"/>
                <w:szCs w:val="20"/>
              </w:rPr>
            </w:pPr>
            <w:r>
              <w:rPr>
                <w:rFonts w:hint="eastAsia" w:ascii="Calibri" w:hAnsi="Calibri"/>
                <w:bCs/>
                <w:sz w:val="20"/>
                <w:szCs w:val="20"/>
              </w:rPr>
              <w:t>3.运用本课的新单词和新语法，完成课后练习，中日互译。</w:t>
            </w:r>
          </w:p>
          <w:p w14:paraId="17A15118">
            <w:pPr>
              <w:snapToGrid w:val="0"/>
              <w:spacing w:line="288" w:lineRule="auto"/>
              <w:rPr>
                <w:rFonts w:ascii="Times New Roman" w:hAnsi="Times New Roman" w:cs="Times New Roman" w:eastAsiaTheme="minorEastAsia"/>
                <w:color w:val="000000"/>
                <w:sz w:val="20"/>
                <w:szCs w:val="20"/>
              </w:rPr>
            </w:pPr>
          </w:p>
        </w:tc>
        <w:tc>
          <w:tcPr>
            <w:tcW w:w="1326" w:type="pct"/>
            <w:shd w:val="clear" w:color="auto" w:fill="auto"/>
          </w:tcPr>
          <w:p w14:paraId="22B0B2C1">
            <w:pPr>
              <w:spacing w:line="288" w:lineRule="auto"/>
              <w:rPr>
                <w:rFonts w:ascii="Calibri" w:hAnsi="Calibri"/>
                <w:bCs/>
                <w:sz w:val="20"/>
                <w:szCs w:val="20"/>
              </w:rPr>
            </w:pPr>
            <w:r>
              <w:rPr>
                <w:rFonts w:hint="eastAsia" w:ascii="Calibri" w:hAnsi="Calibri"/>
                <w:bCs/>
                <w:sz w:val="20"/>
                <w:szCs w:val="20"/>
              </w:rPr>
              <w:t>1</w:t>
            </w:r>
            <w:r>
              <w:rPr>
                <w:rFonts w:ascii="Calibri" w:hAnsi="Calibri"/>
                <w:bCs/>
                <w:sz w:val="20"/>
                <w:szCs w:val="20"/>
              </w:rPr>
              <w:t>.</w:t>
            </w:r>
            <w:r>
              <w:rPr>
                <w:rFonts w:hint="eastAsia" w:ascii="Calibri" w:hAnsi="Calibri"/>
                <w:bCs/>
                <w:sz w:val="20"/>
                <w:szCs w:val="20"/>
              </w:rPr>
              <w:t>能够熟记单词。</w:t>
            </w:r>
          </w:p>
          <w:p w14:paraId="6FC64FF5">
            <w:pPr>
              <w:spacing w:line="288" w:lineRule="auto"/>
              <w:rPr>
                <w:rFonts w:ascii="Calibri" w:hAnsi="Calibri"/>
                <w:bCs/>
                <w:sz w:val="20"/>
                <w:szCs w:val="20"/>
              </w:rPr>
            </w:pPr>
            <w:r>
              <w:rPr>
                <w:rFonts w:hint="eastAsia" w:ascii="Calibri" w:hAnsi="Calibri"/>
                <w:bCs/>
                <w:sz w:val="20"/>
                <w:szCs w:val="20"/>
              </w:rPr>
              <w:t>2</w:t>
            </w:r>
            <w:r>
              <w:rPr>
                <w:rFonts w:ascii="Calibri" w:hAnsi="Calibri"/>
                <w:bCs/>
                <w:sz w:val="20"/>
                <w:szCs w:val="20"/>
              </w:rPr>
              <w:t>.</w:t>
            </w:r>
            <w:r>
              <w:rPr>
                <w:rFonts w:hint="eastAsia" w:ascii="Calibri" w:hAnsi="Calibri"/>
                <w:bCs/>
                <w:sz w:val="20"/>
                <w:szCs w:val="20"/>
              </w:rPr>
              <w:t>能够熟读课文，能背诵课文重点段落，能正确理解新单词和新语法在文中的意义。</w:t>
            </w:r>
          </w:p>
          <w:p w14:paraId="25F64C89">
            <w:pPr>
              <w:spacing w:line="288" w:lineRule="auto"/>
              <w:rPr>
                <w:rFonts w:ascii="Calibri" w:hAnsi="Calibri"/>
                <w:bCs/>
                <w:sz w:val="20"/>
                <w:szCs w:val="20"/>
              </w:rPr>
            </w:pPr>
            <w:r>
              <w:rPr>
                <w:rFonts w:hint="eastAsia" w:ascii="Calibri" w:hAnsi="Calibri"/>
                <w:bCs/>
                <w:sz w:val="20"/>
                <w:szCs w:val="20"/>
              </w:rPr>
              <w:t>3</w:t>
            </w:r>
            <w:r>
              <w:rPr>
                <w:rFonts w:ascii="Calibri" w:hAnsi="Calibri"/>
                <w:bCs/>
                <w:sz w:val="20"/>
                <w:szCs w:val="20"/>
              </w:rPr>
              <w:t>.</w:t>
            </w:r>
            <w:r>
              <w:rPr>
                <w:rFonts w:hint="eastAsia" w:ascii="Calibri" w:hAnsi="Calibri"/>
                <w:bCs/>
                <w:sz w:val="20"/>
                <w:szCs w:val="20"/>
              </w:rPr>
              <w:t>能模仿会话文内容，围绕日本文化进行课堂会话。</w:t>
            </w:r>
          </w:p>
          <w:p w14:paraId="74E2F836">
            <w:pPr>
              <w:spacing w:line="288" w:lineRule="auto"/>
              <w:rPr>
                <w:rFonts w:ascii="Calibri" w:hAnsi="Calibri"/>
                <w:bCs/>
                <w:sz w:val="20"/>
                <w:szCs w:val="20"/>
              </w:rPr>
            </w:pPr>
            <w:r>
              <w:rPr>
                <w:rFonts w:hint="eastAsia" w:ascii="Calibri" w:hAnsi="Calibri"/>
                <w:bCs/>
                <w:sz w:val="20"/>
                <w:szCs w:val="20"/>
              </w:rPr>
              <w:t>4</w:t>
            </w:r>
            <w:r>
              <w:rPr>
                <w:rFonts w:ascii="Calibri" w:hAnsi="Calibri"/>
                <w:bCs/>
                <w:sz w:val="20"/>
                <w:szCs w:val="20"/>
              </w:rPr>
              <w:t>.</w:t>
            </w:r>
            <w:r>
              <w:rPr>
                <w:rFonts w:hint="eastAsia" w:ascii="Calibri" w:hAnsi="Calibri"/>
                <w:bCs/>
                <w:sz w:val="20"/>
                <w:szCs w:val="20"/>
              </w:rPr>
              <w:t>帮助学生分析理解应用文的主要内容，提高学生的日语阅读能力。</w:t>
            </w:r>
          </w:p>
        </w:tc>
      </w:tr>
    </w:tbl>
    <w:p w14:paraId="70E01061">
      <w:pPr>
        <w:pStyle w:val="18"/>
        <w:spacing w:before="81" w:after="163"/>
        <w:rPr>
          <w:rFonts w:cs="Times New Roman"/>
        </w:rPr>
      </w:pPr>
    </w:p>
    <w:p w14:paraId="5EE140CA">
      <w:pPr>
        <w:pStyle w:val="18"/>
        <w:spacing w:before="81" w:after="163"/>
        <w:rPr>
          <w:rFonts w:cs="Times New Roman"/>
        </w:rPr>
      </w:pPr>
      <w:r>
        <w:rPr>
          <w:rFonts w:cs="Times New Roman"/>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157"/>
        <w:gridCol w:w="1265"/>
        <w:gridCol w:w="1265"/>
        <w:gridCol w:w="1265"/>
        <w:gridCol w:w="1263"/>
        <w:gridCol w:w="1261"/>
      </w:tblGrid>
      <w:tr w14:paraId="52BF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273" w:type="pct"/>
            <w:tcBorders>
              <w:top w:val="single" w:color="auto" w:sz="12" w:space="0"/>
              <w:left w:val="single" w:color="auto" w:sz="12" w:space="0"/>
              <w:tl2br w:val="single" w:color="auto" w:sz="4" w:space="0"/>
            </w:tcBorders>
          </w:tcPr>
          <w:p w14:paraId="027F606D">
            <w:pPr>
              <w:pStyle w:val="14"/>
              <w:ind w:firstLine="489"/>
              <w:jc w:val="right"/>
              <w:rPr>
                <w:rFonts w:ascii="Times New Roman" w:hAnsi="Times New Roman" w:cs="Times New Roman"/>
                <w:szCs w:val="16"/>
              </w:rPr>
            </w:pPr>
            <w:r>
              <w:rPr>
                <w:rFonts w:ascii="Times New Roman" w:hAnsi="Times New Roman" w:cs="Times New Roman"/>
                <w:szCs w:val="16"/>
              </w:rPr>
              <w:t>课程目标</w:t>
            </w:r>
          </w:p>
          <w:p w14:paraId="6BA2DD4F">
            <w:pPr>
              <w:pStyle w:val="14"/>
              <w:ind w:right="210"/>
              <w:jc w:val="left"/>
              <w:rPr>
                <w:rFonts w:ascii="Times New Roman" w:hAnsi="Times New Roman" w:cs="Times New Roman"/>
                <w:szCs w:val="16"/>
              </w:rPr>
            </w:pPr>
          </w:p>
          <w:p w14:paraId="621103E1">
            <w:pPr>
              <w:pStyle w:val="14"/>
              <w:ind w:right="210"/>
              <w:jc w:val="left"/>
              <w:rPr>
                <w:rFonts w:ascii="Times New Roman" w:hAnsi="Times New Roman" w:cs="Times New Roman"/>
                <w:szCs w:val="16"/>
              </w:rPr>
            </w:pPr>
            <w:r>
              <w:rPr>
                <w:rFonts w:ascii="Times New Roman" w:hAnsi="Times New Roman" w:cs="Times New Roman"/>
                <w:szCs w:val="16"/>
              </w:rPr>
              <w:t>教学单元</w:t>
            </w:r>
          </w:p>
        </w:tc>
        <w:tc>
          <w:tcPr>
            <w:tcW w:w="746" w:type="pct"/>
            <w:tcBorders>
              <w:top w:val="single" w:color="auto" w:sz="12" w:space="0"/>
            </w:tcBorders>
            <w:vAlign w:val="center"/>
          </w:tcPr>
          <w:p w14:paraId="41CEB9F6">
            <w:pPr>
              <w:pStyle w:val="14"/>
              <w:rPr>
                <w:rFonts w:ascii="Times New Roman" w:hAnsi="Times New Roman" w:cs="Times New Roman"/>
                <w:szCs w:val="16"/>
              </w:rPr>
            </w:pPr>
            <w:r>
              <w:rPr>
                <w:rFonts w:hint="eastAsia" w:ascii="Times New Roman" w:hAnsi="Times New Roman" w:cs="Times New Roman"/>
                <w:szCs w:val="16"/>
              </w:rPr>
              <w:t>1</w:t>
            </w:r>
          </w:p>
        </w:tc>
        <w:tc>
          <w:tcPr>
            <w:tcW w:w="746" w:type="pct"/>
            <w:tcBorders>
              <w:top w:val="single" w:color="auto" w:sz="12" w:space="0"/>
            </w:tcBorders>
            <w:vAlign w:val="center"/>
          </w:tcPr>
          <w:p w14:paraId="32C0E96F">
            <w:pPr>
              <w:pStyle w:val="14"/>
              <w:rPr>
                <w:rFonts w:ascii="Times New Roman" w:hAnsi="Times New Roman" w:cs="Times New Roman"/>
                <w:szCs w:val="16"/>
              </w:rPr>
            </w:pPr>
            <w:r>
              <w:rPr>
                <w:rFonts w:hint="eastAsia" w:ascii="Times New Roman" w:hAnsi="Times New Roman" w:cs="Times New Roman"/>
                <w:szCs w:val="16"/>
              </w:rPr>
              <w:t>2</w:t>
            </w:r>
          </w:p>
        </w:tc>
        <w:tc>
          <w:tcPr>
            <w:tcW w:w="746" w:type="pct"/>
            <w:tcBorders>
              <w:top w:val="single" w:color="auto" w:sz="12" w:space="0"/>
            </w:tcBorders>
            <w:vAlign w:val="center"/>
          </w:tcPr>
          <w:p w14:paraId="2DC823B6">
            <w:pPr>
              <w:pStyle w:val="14"/>
              <w:rPr>
                <w:rFonts w:ascii="Times New Roman" w:hAnsi="Times New Roman" w:cs="Times New Roman"/>
                <w:szCs w:val="16"/>
              </w:rPr>
            </w:pPr>
            <w:r>
              <w:rPr>
                <w:rFonts w:hint="eastAsia" w:ascii="Times New Roman" w:hAnsi="Times New Roman" w:cs="Times New Roman"/>
                <w:szCs w:val="16"/>
              </w:rPr>
              <w:t>3</w:t>
            </w:r>
          </w:p>
        </w:tc>
        <w:tc>
          <w:tcPr>
            <w:tcW w:w="745" w:type="pct"/>
            <w:tcBorders>
              <w:top w:val="single" w:color="auto" w:sz="12" w:space="0"/>
            </w:tcBorders>
            <w:vAlign w:val="center"/>
          </w:tcPr>
          <w:p w14:paraId="720ED588">
            <w:pPr>
              <w:pStyle w:val="14"/>
              <w:rPr>
                <w:rFonts w:ascii="Times New Roman" w:hAnsi="Times New Roman" w:cs="Times New Roman"/>
                <w:szCs w:val="16"/>
              </w:rPr>
            </w:pPr>
            <w:r>
              <w:rPr>
                <w:rFonts w:hint="eastAsia" w:ascii="Times New Roman" w:hAnsi="Times New Roman" w:cs="Times New Roman"/>
                <w:szCs w:val="16"/>
              </w:rPr>
              <w:t>4</w:t>
            </w:r>
          </w:p>
        </w:tc>
        <w:tc>
          <w:tcPr>
            <w:tcW w:w="744" w:type="pct"/>
            <w:tcBorders>
              <w:top w:val="single" w:color="auto" w:sz="12" w:space="0"/>
            </w:tcBorders>
            <w:vAlign w:val="center"/>
          </w:tcPr>
          <w:p w14:paraId="3E22A922">
            <w:pPr>
              <w:pStyle w:val="14"/>
              <w:rPr>
                <w:rFonts w:ascii="Times New Roman" w:hAnsi="Times New Roman" w:cs="Times New Roman"/>
                <w:szCs w:val="16"/>
              </w:rPr>
            </w:pPr>
            <w:r>
              <w:rPr>
                <w:rFonts w:hint="eastAsia" w:ascii="Times New Roman" w:hAnsi="Times New Roman" w:cs="Times New Roman"/>
                <w:szCs w:val="16"/>
              </w:rPr>
              <w:t>5</w:t>
            </w:r>
          </w:p>
        </w:tc>
      </w:tr>
      <w:tr w14:paraId="5205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3" w:type="pct"/>
            <w:tcBorders>
              <w:left w:val="single" w:color="auto" w:sz="12" w:space="0"/>
            </w:tcBorders>
          </w:tcPr>
          <w:p w14:paraId="11AEC268">
            <w:pPr>
              <w:pStyle w:val="15"/>
            </w:pPr>
            <w:r>
              <w:rPr>
                <w:rFonts w:hint="eastAsia"/>
              </w:rPr>
              <w:t>1</w:t>
            </w:r>
          </w:p>
        </w:tc>
        <w:tc>
          <w:tcPr>
            <w:tcW w:w="746" w:type="pct"/>
            <w:vAlign w:val="center"/>
          </w:tcPr>
          <w:p w14:paraId="7864CD98">
            <w:pPr>
              <w:pStyle w:val="15"/>
            </w:pPr>
            <w:r>
              <w:rPr>
                <w:rFonts w:hint="eastAsia"/>
              </w:rPr>
              <w:t>√</w:t>
            </w:r>
          </w:p>
        </w:tc>
        <w:tc>
          <w:tcPr>
            <w:tcW w:w="746" w:type="pct"/>
            <w:vAlign w:val="center"/>
          </w:tcPr>
          <w:p w14:paraId="4E303ACD">
            <w:pPr>
              <w:pStyle w:val="15"/>
            </w:pPr>
            <w:r>
              <w:rPr>
                <w:rFonts w:hint="eastAsia"/>
              </w:rPr>
              <w:t>√</w:t>
            </w:r>
          </w:p>
        </w:tc>
        <w:tc>
          <w:tcPr>
            <w:tcW w:w="746" w:type="pct"/>
            <w:vAlign w:val="center"/>
          </w:tcPr>
          <w:p w14:paraId="2B4CAA9B">
            <w:pPr>
              <w:pStyle w:val="15"/>
            </w:pPr>
            <w:r>
              <w:rPr>
                <w:rFonts w:hint="eastAsia"/>
              </w:rPr>
              <w:t>√</w:t>
            </w:r>
          </w:p>
        </w:tc>
        <w:tc>
          <w:tcPr>
            <w:tcW w:w="745" w:type="pct"/>
            <w:vAlign w:val="center"/>
          </w:tcPr>
          <w:p w14:paraId="3739D7DF">
            <w:pPr>
              <w:pStyle w:val="15"/>
            </w:pPr>
          </w:p>
        </w:tc>
        <w:tc>
          <w:tcPr>
            <w:tcW w:w="744" w:type="pct"/>
            <w:vAlign w:val="center"/>
          </w:tcPr>
          <w:p w14:paraId="411B5E81">
            <w:pPr>
              <w:pStyle w:val="15"/>
            </w:pPr>
          </w:p>
        </w:tc>
      </w:tr>
      <w:tr w14:paraId="7EB0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3" w:type="pct"/>
            <w:tcBorders>
              <w:left w:val="single" w:color="auto" w:sz="12" w:space="0"/>
            </w:tcBorders>
          </w:tcPr>
          <w:p w14:paraId="2EC94F02">
            <w:pPr>
              <w:pStyle w:val="15"/>
            </w:pPr>
            <w:r>
              <w:rPr>
                <w:rFonts w:hint="eastAsia"/>
              </w:rPr>
              <w:t>2</w:t>
            </w:r>
          </w:p>
        </w:tc>
        <w:tc>
          <w:tcPr>
            <w:tcW w:w="746" w:type="pct"/>
            <w:vAlign w:val="center"/>
          </w:tcPr>
          <w:p w14:paraId="7BE8C734">
            <w:pPr>
              <w:pStyle w:val="15"/>
            </w:pPr>
          </w:p>
        </w:tc>
        <w:tc>
          <w:tcPr>
            <w:tcW w:w="746" w:type="pct"/>
            <w:vAlign w:val="center"/>
          </w:tcPr>
          <w:p w14:paraId="2C2F2109">
            <w:pPr>
              <w:pStyle w:val="15"/>
            </w:pPr>
            <w:r>
              <w:rPr>
                <w:rFonts w:hint="eastAsia"/>
              </w:rPr>
              <w:t>√</w:t>
            </w:r>
          </w:p>
        </w:tc>
        <w:tc>
          <w:tcPr>
            <w:tcW w:w="746" w:type="pct"/>
            <w:vAlign w:val="center"/>
          </w:tcPr>
          <w:p w14:paraId="27131596">
            <w:pPr>
              <w:pStyle w:val="15"/>
            </w:pPr>
            <w:r>
              <w:rPr>
                <w:rFonts w:hint="eastAsia"/>
              </w:rPr>
              <w:t>√</w:t>
            </w:r>
          </w:p>
        </w:tc>
        <w:tc>
          <w:tcPr>
            <w:tcW w:w="745" w:type="pct"/>
            <w:vAlign w:val="center"/>
          </w:tcPr>
          <w:p w14:paraId="222FE1A1">
            <w:pPr>
              <w:pStyle w:val="15"/>
            </w:pPr>
            <w:r>
              <w:rPr>
                <w:rFonts w:hint="eastAsia"/>
              </w:rPr>
              <w:t>√</w:t>
            </w:r>
          </w:p>
        </w:tc>
        <w:tc>
          <w:tcPr>
            <w:tcW w:w="744" w:type="pct"/>
            <w:vAlign w:val="center"/>
          </w:tcPr>
          <w:p w14:paraId="21EF9191">
            <w:pPr>
              <w:pStyle w:val="15"/>
            </w:pPr>
          </w:p>
        </w:tc>
      </w:tr>
      <w:tr w14:paraId="4231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3" w:type="pct"/>
            <w:tcBorders>
              <w:left w:val="single" w:color="auto" w:sz="12" w:space="0"/>
            </w:tcBorders>
          </w:tcPr>
          <w:p w14:paraId="467008EF">
            <w:pPr>
              <w:pStyle w:val="15"/>
            </w:pPr>
            <w:r>
              <w:rPr>
                <w:rFonts w:hint="eastAsia"/>
              </w:rPr>
              <w:t>3</w:t>
            </w:r>
          </w:p>
        </w:tc>
        <w:tc>
          <w:tcPr>
            <w:tcW w:w="746" w:type="pct"/>
            <w:vAlign w:val="center"/>
          </w:tcPr>
          <w:p w14:paraId="53138A1F">
            <w:pPr>
              <w:pStyle w:val="15"/>
            </w:pPr>
            <w:r>
              <w:rPr>
                <w:rFonts w:hint="eastAsia"/>
              </w:rPr>
              <w:t>√</w:t>
            </w:r>
          </w:p>
        </w:tc>
        <w:tc>
          <w:tcPr>
            <w:tcW w:w="746" w:type="pct"/>
            <w:vAlign w:val="center"/>
          </w:tcPr>
          <w:p w14:paraId="2FA6A42D">
            <w:pPr>
              <w:pStyle w:val="15"/>
            </w:pPr>
          </w:p>
        </w:tc>
        <w:tc>
          <w:tcPr>
            <w:tcW w:w="746" w:type="pct"/>
            <w:vAlign w:val="center"/>
          </w:tcPr>
          <w:p w14:paraId="26F50ED1">
            <w:pPr>
              <w:pStyle w:val="15"/>
            </w:pPr>
            <w:r>
              <w:rPr>
                <w:rFonts w:hint="eastAsia"/>
              </w:rPr>
              <w:t>√</w:t>
            </w:r>
          </w:p>
        </w:tc>
        <w:tc>
          <w:tcPr>
            <w:tcW w:w="745" w:type="pct"/>
            <w:vAlign w:val="center"/>
          </w:tcPr>
          <w:p w14:paraId="224631CF">
            <w:pPr>
              <w:pStyle w:val="15"/>
            </w:pPr>
          </w:p>
        </w:tc>
        <w:tc>
          <w:tcPr>
            <w:tcW w:w="744" w:type="pct"/>
            <w:vAlign w:val="center"/>
          </w:tcPr>
          <w:p w14:paraId="79F1896B">
            <w:pPr>
              <w:pStyle w:val="15"/>
            </w:pPr>
            <w:r>
              <w:rPr>
                <w:rFonts w:hint="eastAsia"/>
              </w:rPr>
              <w:t>√</w:t>
            </w:r>
          </w:p>
        </w:tc>
      </w:tr>
      <w:tr w14:paraId="1603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3" w:type="pct"/>
            <w:tcBorders>
              <w:left w:val="single" w:color="auto" w:sz="12" w:space="0"/>
              <w:bottom w:val="single" w:color="auto" w:sz="12" w:space="0"/>
            </w:tcBorders>
          </w:tcPr>
          <w:p w14:paraId="0AFAE93E">
            <w:pPr>
              <w:pStyle w:val="15"/>
            </w:pPr>
            <w:r>
              <w:rPr>
                <w:rFonts w:hint="eastAsia"/>
              </w:rPr>
              <w:t>4</w:t>
            </w:r>
          </w:p>
        </w:tc>
        <w:tc>
          <w:tcPr>
            <w:tcW w:w="746" w:type="pct"/>
            <w:tcBorders>
              <w:bottom w:val="single" w:color="auto" w:sz="12" w:space="0"/>
            </w:tcBorders>
            <w:vAlign w:val="center"/>
          </w:tcPr>
          <w:p w14:paraId="56D2AA1E">
            <w:pPr>
              <w:pStyle w:val="15"/>
            </w:pPr>
          </w:p>
        </w:tc>
        <w:tc>
          <w:tcPr>
            <w:tcW w:w="746" w:type="pct"/>
            <w:tcBorders>
              <w:bottom w:val="single" w:color="auto" w:sz="12" w:space="0"/>
            </w:tcBorders>
            <w:vAlign w:val="center"/>
          </w:tcPr>
          <w:p w14:paraId="6AD51C62">
            <w:pPr>
              <w:pStyle w:val="15"/>
            </w:pPr>
            <w:r>
              <w:rPr>
                <w:rFonts w:hint="eastAsia"/>
              </w:rPr>
              <w:t>√</w:t>
            </w:r>
          </w:p>
        </w:tc>
        <w:tc>
          <w:tcPr>
            <w:tcW w:w="746" w:type="pct"/>
            <w:tcBorders>
              <w:bottom w:val="single" w:color="auto" w:sz="12" w:space="0"/>
            </w:tcBorders>
            <w:vAlign w:val="center"/>
          </w:tcPr>
          <w:p w14:paraId="0CAED37E">
            <w:pPr>
              <w:pStyle w:val="15"/>
            </w:pPr>
          </w:p>
        </w:tc>
        <w:tc>
          <w:tcPr>
            <w:tcW w:w="745" w:type="pct"/>
            <w:tcBorders>
              <w:bottom w:val="single" w:color="auto" w:sz="12" w:space="0"/>
            </w:tcBorders>
            <w:vAlign w:val="center"/>
          </w:tcPr>
          <w:p w14:paraId="29F42DDD">
            <w:pPr>
              <w:pStyle w:val="15"/>
            </w:pPr>
            <w:r>
              <w:rPr>
                <w:rFonts w:hint="eastAsia"/>
              </w:rPr>
              <w:t>√</w:t>
            </w:r>
          </w:p>
        </w:tc>
        <w:tc>
          <w:tcPr>
            <w:tcW w:w="744" w:type="pct"/>
            <w:tcBorders>
              <w:bottom w:val="single" w:color="auto" w:sz="12" w:space="0"/>
            </w:tcBorders>
            <w:vAlign w:val="center"/>
          </w:tcPr>
          <w:p w14:paraId="17904DC1">
            <w:pPr>
              <w:pStyle w:val="15"/>
            </w:pPr>
            <w:r>
              <w:rPr>
                <w:rFonts w:hint="eastAsia"/>
              </w:rPr>
              <w:t>√</w:t>
            </w:r>
          </w:p>
        </w:tc>
      </w:tr>
    </w:tbl>
    <w:p w14:paraId="268841EC">
      <w:pPr>
        <w:pStyle w:val="18"/>
        <w:spacing w:before="326" w:beforeLines="100" w:after="163"/>
        <w:rPr>
          <w:rFonts w:cs="Times New Roman"/>
        </w:rPr>
      </w:pPr>
      <w:r>
        <w:rPr>
          <w:rFonts w:cs="Times New Roman"/>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011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5455B81A">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教学单元</w:t>
            </w:r>
          </w:p>
        </w:tc>
        <w:tc>
          <w:tcPr>
            <w:tcW w:w="2690" w:type="dxa"/>
            <w:vMerge w:val="restart"/>
            <w:tcBorders>
              <w:top w:val="single" w:color="auto" w:sz="12" w:space="0"/>
            </w:tcBorders>
            <w:vAlign w:val="center"/>
          </w:tcPr>
          <w:p w14:paraId="77848E37">
            <w:pPr>
              <w:pStyle w:val="14"/>
              <w:widowControl w:val="0"/>
              <w:rPr>
                <w:rFonts w:ascii="Times New Roman" w:hAnsi="Times New Roman" w:cs="Times New Roman"/>
                <w:szCs w:val="21"/>
              </w:rPr>
            </w:pPr>
            <w:r>
              <w:rPr>
                <w:rFonts w:ascii="Times New Roman" w:hAnsi="Times New Roman" w:cs="Times New Roman"/>
                <w:szCs w:val="21"/>
              </w:rPr>
              <w:t>教与学方式</w:t>
            </w:r>
          </w:p>
        </w:tc>
        <w:tc>
          <w:tcPr>
            <w:tcW w:w="1697" w:type="dxa"/>
            <w:vMerge w:val="restart"/>
            <w:tcBorders>
              <w:top w:val="single" w:color="auto" w:sz="12" w:space="0"/>
            </w:tcBorders>
            <w:vAlign w:val="center"/>
          </w:tcPr>
          <w:p w14:paraId="3350CCD7">
            <w:pPr>
              <w:pStyle w:val="14"/>
              <w:widowControl w:val="0"/>
              <w:rPr>
                <w:rFonts w:ascii="Times New Roman" w:hAnsi="Times New Roman" w:cs="Times New Roman"/>
                <w:szCs w:val="21"/>
              </w:rPr>
            </w:pPr>
            <w:r>
              <w:rPr>
                <w:rFonts w:ascii="Times New Roman" w:hAnsi="Times New Roman" w:cs="Times New Roman"/>
                <w:szCs w:val="21"/>
              </w:rPr>
              <w:t>考核方式</w:t>
            </w:r>
          </w:p>
        </w:tc>
        <w:tc>
          <w:tcPr>
            <w:tcW w:w="2061" w:type="dxa"/>
            <w:gridSpan w:val="3"/>
            <w:tcBorders>
              <w:top w:val="single" w:color="auto" w:sz="12" w:space="0"/>
              <w:right w:val="single" w:color="auto" w:sz="12" w:space="0"/>
            </w:tcBorders>
            <w:vAlign w:val="center"/>
          </w:tcPr>
          <w:p w14:paraId="3DCF2D7F">
            <w:pPr>
              <w:pStyle w:val="14"/>
              <w:widowControl w:val="0"/>
              <w:rPr>
                <w:rFonts w:ascii="Times New Roman" w:hAnsi="Times New Roman" w:cs="Times New Roman"/>
                <w:szCs w:val="21"/>
              </w:rPr>
            </w:pPr>
            <w:r>
              <w:rPr>
                <w:rFonts w:ascii="Times New Roman" w:hAnsi="Times New Roman" w:cs="Times New Roman"/>
                <w:szCs w:val="21"/>
              </w:rPr>
              <w:t>学时</w:t>
            </w:r>
            <w:r>
              <w:rPr>
                <w:rFonts w:ascii="Times New Roman" w:hAnsi="Times New Roman" w:cs="Times New Roman"/>
                <w:bCs w:val="0"/>
                <w:szCs w:val="21"/>
              </w:rPr>
              <w:t>分配</w:t>
            </w:r>
          </w:p>
        </w:tc>
      </w:tr>
      <w:tr w14:paraId="510F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3E52CE8A">
            <w:pPr>
              <w:widowControl w:val="0"/>
              <w:snapToGrid w:val="0"/>
              <w:jc w:val="center"/>
              <w:rPr>
                <w:rFonts w:ascii="Times New Roman" w:hAnsi="Times New Roman" w:eastAsia="黑体" w:cs="Times New Roman"/>
                <w:bCs/>
                <w:sz w:val="21"/>
                <w:szCs w:val="21"/>
              </w:rPr>
            </w:pPr>
          </w:p>
        </w:tc>
        <w:tc>
          <w:tcPr>
            <w:tcW w:w="2690" w:type="dxa"/>
            <w:vMerge w:val="continue"/>
          </w:tcPr>
          <w:p w14:paraId="09CA501D">
            <w:pPr>
              <w:widowControl w:val="0"/>
              <w:snapToGrid w:val="0"/>
              <w:jc w:val="center"/>
              <w:rPr>
                <w:rFonts w:ascii="Times New Roman" w:hAnsi="Times New Roman" w:eastAsia="黑体" w:cs="Times New Roman"/>
                <w:bCs/>
                <w:sz w:val="21"/>
                <w:szCs w:val="21"/>
              </w:rPr>
            </w:pPr>
          </w:p>
        </w:tc>
        <w:tc>
          <w:tcPr>
            <w:tcW w:w="1697" w:type="dxa"/>
            <w:vMerge w:val="continue"/>
          </w:tcPr>
          <w:p w14:paraId="3170230E">
            <w:pPr>
              <w:widowControl w:val="0"/>
              <w:snapToGrid w:val="0"/>
              <w:jc w:val="center"/>
              <w:rPr>
                <w:rFonts w:ascii="Times New Roman" w:hAnsi="Times New Roman" w:eastAsia="黑体" w:cs="Times New Roman"/>
                <w:bCs/>
                <w:sz w:val="21"/>
                <w:szCs w:val="21"/>
              </w:rPr>
            </w:pPr>
          </w:p>
        </w:tc>
        <w:tc>
          <w:tcPr>
            <w:tcW w:w="708" w:type="dxa"/>
            <w:vAlign w:val="center"/>
          </w:tcPr>
          <w:p w14:paraId="35FDA49B">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理论</w:t>
            </w:r>
          </w:p>
        </w:tc>
        <w:tc>
          <w:tcPr>
            <w:tcW w:w="653" w:type="dxa"/>
            <w:vAlign w:val="center"/>
          </w:tcPr>
          <w:p w14:paraId="5EA0A3F3">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实践</w:t>
            </w:r>
          </w:p>
        </w:tc>
        <w:tc>
          <w:tcPr>
            <w:tcW w:w="700" w:type="dxa"/>
            <w:tcBorders>
              <w:right w:val="single" w:color="auto" w:sz="12" w:space="0"/>
            </w:tcBorders>
            <w:vAlign w:val="center"/>
          </w:tcPr>
          <w:p w14:paraId="53BE92B8">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小计</w:t>
            </w:r>
          </w:p>
        </w:tc>
      </w:tr>
      <w:tr w14:paraId="3AE6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94EA8FC">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1</w:t>
            </w:r>
          </w:p>
        </w:tc>
        <w:tc>
          <w:tcPr>
            <w:tcW w:w="2690" w:type="dxa"/>
            <w:vAlign w:val="center"/>
          </w:tcPr>
          <w:p w14:paraId="39B5C30F">
            <w:pPr>
              <w:widowControl w:val="0"/>
              <w:snapToGrid w:val="0"/>
              <w:jc w:val="left"/>
              <w:rPr>
                <w:rFonts w:ascii="Times New Roman" w:hAnsi="Times New Roman" w:cs="Times New Roman"/>
                <w:bCs/>
                <w:sz w:val="20"/>
                <w:szCs w:val="20"/>
              </w:rPr>
            </w:pPr>
            <w:r>
              <w:rPr>
                <w:rFonts w:hint="eastAsia" w:ascii="Times New Roman" w:hAnsi="Times New Roman" w:cs="Times New Roman"/>
                <w:bCs/>
                <w:sz w:val="20"/>
                <w:szCs w:val="20"/>
              </w:rPr>
              <w:t>教：讲述、情境、练习教学法教学法</w:t>
            </w:r>
          </w:p>
          <w:p w14:paraId="0D08E56D">
            <w:pPr>
              <w:widowControl w:val="0"/>
              <w:snapToGrid w:val="0"/>
              <w:jc w:val="left"/>
              <w:rPr>
                <w:rFonts w:ascii="Times New Roman" w:hAnsi="Times New Roman" w:cs="Times New Roman"/>
                <w:bCs/>
                <w:sz w:val="21"/>
                <w:szCs w:val="21"/>
              </w:rPr>
            </w:pPr>
            <w:r>
              <w:rPr>
                <w:rFonts w:hint="eastAsia" w:ascii="Times New Roman" w:hAnsi="Times New Roman" w:cs="Times New Roman"/>
                <w:bCs/>
                <w:sz w:val="20"/>
                <w:szCs w:val="20"/>
              </w:rPr>
              <w:t>学：问题导向学习</w:t>
            </w:r>
          </w:p>
        </w:tc>
        <w:tc>
          <w:tcPr>
            <w:tcW w:w="1697" w:type="dxa"/>
            <w:vAlign w:val="center"/>
          </w:tcPr>
          <w:p w14:paraId="29564B4F">
            <w:pPr>
              <w:widowControl w:val="0"/>
              <w:snapToGrid w:val="0"/>
              <w:jc w:val="left"/>
              <w:rPr>
                <w:rFonts w:ascii="Calibri" w:hAnsi="Calibri" w:cs="Times New Roman"/>
                <w:color w:val="000000"/>
                <w:sz w:val="20"/>
                <w:szCs w:val="20"/>
              </w:rPr>
            </w:pPr>
            <w:r>
              <w:rPr>
                <w:rFonts w:hint="eastAsia" w:ascii="Calibri" w:hAnsi="Calibri" w:cs="Times New Roman"/>
                <w:color w:val="000000"/>
                <w:sz w:val="20"/>
                <w:szCs w:val="20"/>
              </w:rPr>
              <w:t>课堂提问与</w:t>
            </w:r>
          </w:p>
          <w:p w14:paraId="6E93DED4">
            <w:pPr>
              <w:widowControl w:val="0"/>
              <w:snapToGrid w:val="0"/>
              <w:jc w:val="left"/>
              <w:rPr>
                <w:rFonts w:ascii="Times New Roman" w:hAnsi="Times New Roman" w:cs="Times New Roman"/>
                <w:bCs/>
                <w:sz w:val="21"/>
                <w:szCs w:val="21"/>
              </w:rPr>
            </w:pPr>
            <w:r>
              <w:rPr>
                <w:rFonts w:hint="eastAsia" w:ascii="Calibri" w:hAnsi="Calibri" w:cs="Times New Roman"/>
                <w:color w:val="000000"/>
                <w:sz w:val="20"/>
                <w:szCs w:val="20"/>
              </w:rPr>
              <w:t>课后作业、测验</w:t>
            </w:r>
          </w:p>
        </w:tc>
        <w:tc>
          <w:tcPr>
            <w:tcW w:w="708" w:type="dxa"/>
            <w:vAlign w:val="center"/>
          </w:tcPr>
          <w:p w14:paraId="39D84FA5">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4</w:t>
            </w:r>
            <w:r>
              <w:rPr>
                <w:rFonts w:ascii="Times New Roman" w:hAnsi="Times New Roman" w:cs="Times New Roman"/>
                <w:bCs/>
                <w:sz w:val="21"/>
                <w:szCs w:val="21"/>
              </w:rPr>
              <w:t>0</w:t>
            </w:r>
          </w:p>
        </w:tc>
        <w:tc>
          <w:tcPr>
            <w:tcW w:w="653" w:type="dxa"/>
            <w:vAlign w:val="center"/>
          </w:tcPr>
          <w:p w14:paraId="3A7444AF">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0</w:t>
            </w:r>
          </w:p>
        </w:tc>
        <w:tc>
          <w:tcPr>
            <w:tcW w:w="700" w:type="dxa"/>
            <w:tcBorders>
              <w:right w:val="single" w:color="auto" w:sz="12" w:space="0"/>
            </w:tcBorders>
            <w:vAlign w:val="center"/>
          </w:tcPr>
          <w:p w14:paraId="197BBBF4">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4</w:t>
            </w:r>
            <w:r>
              <w:rPr>
                <w:rFonts w:ascii="Times New Roman" w:hAnsi="Times New Roman" w:cs="Times New Roman"/>
                <w:bCs/>
                <w:sz w:val="21"/>
                <w:szCs w:val="21"/>
              </w:rPr>
              <w:t>0</w:t>
            </w:r>
          </w:p>
        </w:tc>
      </w:tr>
      <w:tr w14:paraId="0DF7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C3E17D5">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2</w:t>
            </w:r>
          </w:p>
        </w:tc>
        <w:tc>
          <w:tcPr>
            <w:tcW w:w="2690" w:type="dxa"/>
            <w:vAlign w:val="center"/>
          </w:tcPr>
          <w:p w14:paraId="652501A5">
            <w:pPr>
              <w:widowControl w:val="0"/>
              <w:snapToGrid w:val="0"/>
              <w:jc w:val="left"/>
              <w:rPr>
                <w:rFonts w:ascii="Times New Roman" w:hAnsi="Times New Roman" w:cs="Times New Roman"/>
                <w:bCs/>
                <w:sz w:val="20"/>
                <w:szCs w:val="20"/>
              </w:rPr>
            </w:pPr>
            <w:r>
              <w:rPr>
                <w:rFonts w:hint="eastAsia" w:ascii="Times New Roman" w:hAnsi="Times New Roman" w:cs="Times New Roman"/>
                <w:bCs/>
                <w:sz w:val="20"/>
                <w:szCs w:val="20"/>
              </w:rPr>
              <w:t>教：讲述、多媒体</w:t>
            </w:r>
            <w:r>
              <w:rPr>
                <w:rFonts w:ascii="Times New Roman" w:hAnsi="Times New Roman" w:cs="Times New Roman"/>
                <w:bCs/>
                <w:sz w:val="20"/>
                <w:szCs w:val="20"/>
              </w:rPr>
              <w:t>教学法</w:t>
            </w:r>
          </w:p>
          <w:p w14:paraId="57BD0AC8">
            <w:pPr>
              <w:widowControl w:val="0"/>
              <w:snapToGrid w:val="0"/>
              <w:jc w:val="left"/>
              <w:rPr>
                <w:rFonts w:ascii="Times New Roman" w:hAnsi="Times New Roman" w:cs="Times New Roman"/>
                <w:bCs/>
                <w:sz w:val="21"/>
                <w:szCs w:val="21"/>
              </w:rPr>
            </w:pPr>
            <w:r>
              <w:rPr>
                <w:rFonts w:hint="eastAsia" w:ascii="Times New Roman" w:hAnsi="Times New Roman" w:cs="Times New Roman"/>
                <w:bCs/>
                <w:sz w:val="20"/>
                <w:szCs w:val="20"/>
              </w:rPr>
              <w:t>学：问题导向学习</w:t>
            </w:r>
          </w:p>
        </w:tc>
        <w:tc>
          <w:tcPr>
            <w:tcW w:w="1697" w:type="dxa"/>
            <w:vAlign w:val="center"/>
          </w:tcPr>
          <w:p w14:paraId="0A536D75">
            <w:pPr>
              <w:widowControl w:val="0"/>
              <w:snapToGrid w:val="0"/>
              <w:jc w:val="left"/>
              <w:rPr>
                <w:rFonts w:ascii="Calibri" w:hAnsi="Calibri" w:cs="Times New Roman"/>
                <w:color w:val="000000"/>
                <w:sz w:val="20"/>
                <w:szCs w:val="20"/>
              </w:rPr>
            </w:pPr>
            <w:r>
              <w:rPr>
                <w:rFonts w:hint="eastAsia" w:ascii="Calibri" w:hAnsi="Calibri" w:cs="Times New Roman"/>
                <w:color w:val="000000"/>
                <w:sz w:val="20"/>
                <w:szCs w:val="20"/>
              </w:rPr>
              <w:t>课堂提问与</w:t>
            </w:r>
          </w:p>
          <w:p w14:paraId="3D9AC9F7">
            <w:pPr>
              <w:widowControl w:val="0"/>
              <w:snapToGrid w:val="0"/>
              <w:jc w:val="left"/>
              <w:rPr>
                <w:rFonts w:ascii="Times New Roman" w:hAnsi="Times New Roman" w:cs="Times New Roman"/>
                <w:bCs/>
                <w:sz w:val="21"/>
                <w:szCs w:val="21"/>
              </w:rPr>
            </w:pPr>
            <w:r>
              <w:rPr>
                <w:rFonts w:hint="eastAsia" w:ascii="Calibri" w:hAnsi="Calibri" w:cs="Times New Roman"/>
                <w:color w:val="000000"/>
                <w:sz w:val="20"/>
                <w:szCs w:val="20"/>
              </w:rPr>
              <w:t>小组讨论、测验</w:t>
            </w:r>
          </w:p>
        </w:tc>
        <w:tc>
          <w:tcPr>
            <w:tcW w:w="708" w:type="dxa"/>
            <w:vAlign w:val="center"/>
          </w:tcPr>
          <w:p w14:paraId="7642E5DD">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4</w:t>
            </w:r>
            <w:r>
              <w:rPr>
                <w:rFonts w:ascii="Times New Roman" w:hAnsi="Times New Roman" w:cs="Times New Roman"/>
                <w:bCs/>
                <w:sz w:val="21"/>
                <w:szCs w:val="21"/>
              </w:rPr>
              <w:t>0</w:t>
            </w:r>
          </w:p>
        </w:tc>
        <w:tc>
          <w:tcPr>
            <w:tcW w:w="653" w:type="dxa"/>
            <w:vAlign w:val="center"/>
          </w:tcPr>
          <w:p w14:paraId="7F794704">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0</w:t>
            </w:r>
          </w:p>
        </w:tc>
        <w:tc>
          <w:tcPr>
            <w:tcW w:w="700" w:type="dxa"/>
            <w:tcBorders>
              <w:right w:val="single" w:color="auto" w:sz="12" w:space="0"/>
            </w:tcBorders>
            <w:vAlign w:val="center"/>
          </w:tcPr>
          <w:p w14:paraId="6AA66ED8">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4</w:t>
            </w:r>
            <w:r>
              <w:rPr>
                <w:rFonts w:ascii="Times New Roman" w:hAnsi="Times New Roman" w:cs="Times New Roman"/>
                <w:bCs/>
                <w:sz w:val="21"/>
                <w:szCs w:val="21"/>
              </w:rPr>
              <w:t>0</w:t>
            </w:r>
          </w:p>
        </w:tc>
      </w:tr>
      <w:tr w14:paraId="5F51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18CBDC7">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3</w:t>
            </w:r>
          </w:p>
        </w:tc>
        <w:tc>
          <w:tcPr>
            <w:tcW w:w="2690" w:type="dxa"/>
            <w:vAlign w:val="center"/>
          </w:tcPr>
          <w:p w14:paraId="6F597859">
            <w:pPr>
              <w:widowControl w:val="0"/>
              <w:snapToGrid w:val="0"/>
              <w:jc w:val="left"/>
              <w:rPr>
                <w:rFonts w:ascii="Times New Roman" w:hAnsi="Times New Roman" w:cs="Times New Roman"/>
                <w:bCs/>
                <w:sz w:val="20"/>
                <w:szCs w:val="20"/>
              </w:rPr>
            </w:pPr>
            <w:r>
              <w:rPr>
                <w:rFonts w:hint="eastAsia" w:ascii="Times New Roman" w:hAnsi="Times New Roman" w:cs="Times New Roman"/>
                <w:bCs/>
                <w:sz w:val="20"/>
                <w:szCs w:val="20"/>
              </w:rPr>
              <w:t>教：讲述、情境、练习教学法教学法</w:t>
            </w:r>
          </w:p>
          <w:p w14:paraId="566ACE3D">
            <w:pPr>
              <w:widowControl w:val="0"/>
              <w:snapToGrid w:val="0"/>
              <w:jc w:val="left"/>
              <w:rPr>
                <w:rFonts w:ascii="Times New Roman" w:hAnsi="Times New Roman" w:cs="Times New Roman"/>
                <w:bCs/>
                <w:sz w:val="21"/>
                <w:szCs w:val="21"/>
              </w:rPr>
            </w:pPr>
            <w:r>
              <w:rPr>
                <w:rFonts w:hint="eastAsia" w:ascii="Times New Roman" w:hAnsi="Times New Roman" w:cs="Times New Roman"/>
                <w:bCs/>
                <w:sz w:val="20"/>
                <w:szCs w:val="20"/>
              </w:rPr>
              <w:t>学：问题导向学习</w:t>
            </w:r>
          </w:p>
        </w:tc>
        <w:tc>
          <w:tcPr>
            <w:tcW w:w="1697" w:type="dxa"/>
            <w:vAlign w:val="center"/>
          </w:tcPr>
          <w:p w14:paraId="5A76E72E">
            <w:pPr>
              <w:widowControl w:val="0"/>
              <w:snapToGrid w:val="0"/>
              <w:jc w:val="left"/>
              <w:rPr>
                <w:rFonts w:ascii="Calibri" w:hAnsi="Calibri" w:cs="Times New Roman"/>
                <w:color w:val="000000"/>
                <w:sz w:val="20"/>
                <w:szCs w:val="20"/>
              </w:rPr>
            </w:pPr>
            <w:r>
              <w:rPr>
                <w:rFonts w:hint="eastAsia" w:ascii="Calibri" w:hAnsi="Calibri" w:cs="Times New Roman"/>
                <w:color w:val="000000"/>
                <w:sz w:val="20"/>
                <w:szCs w:val="20"/>
              </w:rPr>
              <w:t>课堂提问与</w:t>
            </w:r>
          </w:p>
          <w:p w14:paraId="1E8FB491">
            <w:pPr>
              <w:widowControl w:val="0"/>
              <w:snapToGrid w:val="0"/>
              <w:jc w:val="left"/>
              <w:rPr>
                <w:rFonts w:ascii="Times New Roman" w:hAnsi="Times New Roman" w:cs="Times New Roman"/>
                <w:bCs/>
                <w:sz w:val="21"/>
                <w:szCs w:val="21"/>
              </w:rPr>
            </w:pPr>
            <w:r>
              <w:rPr>
                <w:rFonts w:hint="eastAsia" w:ascii="Calibri" w:hAnsi="Calibri" w:cs="Times New Roman"/>
                <w:color w:val="000000"/>
                <w:sz w:val="20"/>
                <w:szCs w:val="20"/>
              </w:rPr>
              <w:t>小组讨论、测验</w:t>
            </w:r>
          </w:p>
        </w:tc>
        <w:tc>
          <w:tcPr>
            <w:tcW w:w="708" w:type="dxa"/>
            <w:vAlign w:val="center"/>
          </w:tcPr>
          <w:p w14:paraId="0A0EE4E3">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4</w:t>
            </w:r>
            <w:r>
              <w:rPr>
                <w:rFonts w:ascii="Times New Roman" w:hAnsi="Times New Roman" w:cs="Times New Roman"/>
                <w:bCs/>
                <w:sz w:val="21"/>
                <w:szCs w:val="21"/>
              </w:rPr>
              <w:t>0</w:t>
            </w:r>
          </w:p>
        </w:tc>
        <w:tc>
          <w:tcPr>
            <w:tcW w:w="653" w:type="dxa"/>
            <w:vAlign w:val="center"/>
          </w:tcPr>
          <w:p w14:paraId="786F9381">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0</w:t>
            </w:r>
          </w:p>
        </w:tc>
        <w:tc>
          <w:tcPr>
            <w:tcW w:w="700" w:type="dxa"/>
            <w:tcBorders>
              <w:right w:val="single" w:color="auto" w:sz="12" w:space="0"/>
            </w:tcBorders>
            <w:vAlign w:val="center"/>
          </w:tcPr>
          <w:p w14:paraId="6B7AC129">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4</w:t>
            </w:r>
            <w:r>
              <w:rPr>
                <w:rFonts w:ascii="Times New Roman" w:hAnsi="Times New Roman" w:cs="Times New Roman"/>
                <w:bCs/>
                <w:sz w:val="21"/>
                <w:szCs w:val="21"/>
              </w:rPr>
              <w:t>0</w:t>
            </w:r>
          </w:p>
        </w:tc>
      </w:tr>
      <w:tr w14:paraId="31DE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670C3BB">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4</w:t>
            </w:r>
          </w:p>
        </w:tc>
        <w:tc>
          <w:tcPr>
            <w:tcW w:w="2690" w:type="dxa"/>
            <w:vAlign w:val="center"/>
          </w:tcPr>
          <w:p w14:paraId="6F11C77B">
            <w:pPr>
              <w:widowControl w:val="0"/>
              <w:snapToGrid w:val="0"/>
              <w:jc w:val="left"/>
              <w:rPr>
                <w:rFonts w:ascii="Times New Roman" w:hAnsi="Times New Roman" w:cs="Times New Roman"/>
                <w:bCs/>
                <w:sz w:val="20"/>
                <w:szCs w:val="20"/>
              </w:rPr>
            </w:pPr>
            <w:r>
              <w:rPr>
                <w:rFonts w:hint="eastAsia" w:ascii="Times New Roman" w:hAnsi="Times New Roman" w:cs="Times New Roman"/>
                <w:bCs/>
                <w:sz w:val="20"/>
                <w:szCs w:val="20"/>
              </w:rPr>
              <w:t>教：讲述、示范、多媒体教学法</w:t>
            </w:r>
          </w:p>
          <w:p w14:paraId="181E9EC4">
            <w:pPr>
              <w:widowControl w:val="0"/>
              <w:snapToGrid w:val="0"/>
              <w:jc w:val="left"/>
              <w:rPr>
                <w:rFonts w:ascii="Times New Roman" w:hAnsi="Times New Roman" w:cs="Times New Roman"/>
                <w:bCs/>
                <w:sz w:val="21"/>
                <w:szCs w:val="21"/>
              </w:rPr>
            </w:pPr>
            <w:r>
              <w:rPr>
                <w:rFonts w:hint="eastAsia" w:ascii="Times New Roman" w:hAnsi="Times New Roman" w:cs="Times New Roman"/>
                <w:bCs/>
                <w:sz w:val="20"/>
                <w:szCs w:val="20"/>
              </w:rPr>
              <w:t>学：问题导向学习</w:t>
            </w:r>
          </w:p>
        </w:tc>
        <w:tc>
          <w:tcPr>
            <w:tcW w:w="1697" w:type="dxa"/>
            <w:vAlign w:val="center"/>
          </w:tcPr>
          <w:p w14:paraId="69BD7A06">
            <w:pPr>
              <w:widowControl w:val="0"/>
              <w:snapToGrid w:val="0"/>
              <w:jc w:val="left"/>
              <w:rPr>
                <w:rFonts w:ascii="Calibri" w:hAnsi="Calibri" w:cs="Times New Roman"/>
                <w:color w:val="000000"/>
                <w:sz w:val="20"/>
                <w:szCs w:val="20"/>
              </w:rPr>
            </w:pPr>
            <w:r>
              <w:rPr>
                <w:rFonts w:hint="eastAsia" w:ascii="Calibri" w:hAnsi="Calibri" w:cs="Times New Roman"/>
                <w:color w:val="000000"/>
                <w:sz w:val="20"/>
                <w:szCs w:val="20"/>
              </w:rPr>
              <w:t>课堂提问与</w:t>
            </w:r>
          </w:p>
          <w:p w14:paraId="24FF3A8F">
            <w:pPr>
              <w:widowControl w:val="0"/>
              <w:snapToGrid w:val="0"/>
              <w:jc w:val="left"/>
              <w:rPr>
                <w:rFonts w:ascii="Times New Roman" w:hAnsi="Times New Roman" w:cs="Times New Roman"/>
                <w:bCs/>
                <w:sz w:val="21"/>
                <w:szCs w:val="21"/>
              </w:rPr>
            </w:pPr>
            <w:r>
              <w:rPr>
                <w:rFonts w:hint="eastAsia" w:ascii="Calibri" w:hAnsi="Calibri" w:cs="Times New Roman"/>
                <w:color w:val="000000"/>
                <w:sz w:val="20"/>
                <w:szCs w:val="20"/>
              </w:rPr>
              <w:t>课后作业、测验</w:t>
            </w:r>
          </w:p>
        </w:tc>
        <w:tc>
          <w:tcPr>
            <w:tcW w:w="708" w:type="dxa"/>
            <w:vAlign w:val="center"/>
          </w:tcPr>
          <w:p w14:paraId="6E763585">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4</w:t>
            </w:r>
            <w:r>
              <w:rPr>
                <w:rFonts w:ascii="Times New Roman" w:hAnsi="Times New Roman" w:cs="Times New Roman"/>
                <w:bCs/>
                <w:sz w:val="21"/>
                <w:szCs w:val="21"/>
              </w:rPr>
              <w:t>0</w:t>
            </w:r>
          </w:p>
        </w:tc>
        <w:tc>
          <w:tcPr>
            <w:tcW w:w="653" w:type="dxa"/>
            <w:vAlign w:val="center"/>
          </w:tcPr>
          <w:p w14:paraId="47F02AA6">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0</w:t>
            </w:r>
          </w:p>
        </w:tc>
        <w:tc>
          <w:tcPr>
            <w:tcW w:w="700" w:type="dxa"/>
            <w:tcBorders>
              <w:right w:val="single" w:color="auto" w:sz="12" w:space="0"/>
            </w:tcBorders>
            <w:vAlign w:val="center"/>
          </w:tcPr>
          <w:p w14:paraId="63A0FB8B">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4</w:t>
            </w:r>
            <w:r>
              <w:rPr>
                <w:rFonts w:ascii="Times New Roman" w:hAnsi="Times New Roman" w:cs="Times New Roman"/>
                <w:bCs/>
                <w:sz w:val="21"/>
                <w:szCs w:val="21"/>
              </w:rPr>
              <w:t>0</w:t>
            </w:r>
          </w:p>
        </w:tc>
      </w:tr>
      <w:tr w14:paraId="55FC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4FC987CC">
            <w:pPr>
              <w:pStyle w:val="14"/>
              <w:widowControl w:val="0"/>
              <w:rPr>
                <w:rFonts w:ascii="Times New Roman" w:hAnsi="Times New Roman" w:cs="Times New Roman"/>
              </w:rPr>
            </w:pPr>
            <w:r>
              <w:rPr>
                <w:rFonts w:ascii="Times New Roman" w:hAnsi="Times New Roman" w:cs="Times New Roman"/>
              </w:rPr>
              <w:t>合计</w:t>
            </w:r>
          </w:p>
        </w:tc>
        <w:tc>
          <w:tcPr>
            <w:tcW w:w="708" w:type="dxa"/>
            <w:tcBorders>
              <w:bottom w:val="single" w:color="auto" w:sz="12" w:space="0"/>
            </w:tcBorders>
            <w:vAlign w:val="center"/>
          </w:tcPr>
          <w:p w14:paraId="016B8EB4">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1</w:t>
            </w:r>
            <w:r>
              <w:rPr>
                <w:rFonts w:ascii="Times New Roman" w:hAnsi="Times New Roman" w:cs="Times New Roman"/>
                <w:bCs/>
                <w:sz w:val="21"/>
                <w:szCs w:val="21"/>
              </w:rPr>
              <w:t>60</w:t>
            </w:r>
          </w:p>
        </w:tc>
        <w:tc>
          <w:tcPr>
            <w:tcW w:w="653" w:type="dxa"/>
            <w:tcBorders>
              <w:bottom w:val="single" w:color="auto" w:sz="12" w:space="0"/>
            </w:tcBorders>
            <w:vAlign w:val="center"/>
          </w:tcPr>
          <w:p w14:paraId="164E50F5">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0</w:t>
            </w:r>
          </w:p>
        </w:tc>
        <w:tc>
          <w:tcPr>
            <w:tcW w:w="700" w:type="dxa"/>
            <w:tcBorders>
              <w:bottom w:val="single" w:color="auto" w:sz="12" w:space="0"/>
              <w:right w:val="single" w:color="auto" w:sz="12" w:space="0"/>
            </w:tcBorders>
            <w:vAlign w:val="center"/>
          </w:tcPr>
          <w:p w14:paraId="55847802">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1</w:t>
            </w:r>
            <w:r>
              <w:rPr>
                <w:rFonts w:ascii="Times New Roman" w:hAnsi="Times New Roman" w:cs="Times New Roman"/>
                <w:bCs/>
                <w:sz w:val="21"/>
                <w:szCs w:val="21"/>
              </w:rPr>
              <w:t>60</w:t>
            </w:r>
          </w:p>
        </w:tc>
      </w:tr>
    </w:tbl>
    <w:p w14:paraId="5CB01C3E">
      <w:pPr>
        <w:pStyle w:val="17"/>
        <w:spacing w:before="326" w:beforeLines="100" w:line="360" w:lineRule="auto"/>
        <w:ind w:firstLine="140" w:firstLineChars="50"/>
        <w:rPr>
          <w:rFonts w:ascii="Times New Roman" w:hAnsi="Times New Roman" w:cs="Times New Roman"/>
        </w:rPr>
      </w:pPr>
      <w:bookmarkStart w:id="0" w:name="OLE_LINK2"/>
      <w:bookmarkStart w:id="1" w:name="OLE_LINK1"/>
      <w:r>
        <w:rPr>
          <w:rFonts w:ascii="Times New Roman" w:hAnsi="Times New Roman" w:cs="Times New Roman"/>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0C61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B384F76">
            <w:pPr>
              <w:pStyle w:val="15"/>
            </w:pPr>
            <w:r>
              <w:rPr>
                <w:rFonts w:hint="eastAsia"/>
              </w:rPr>
              <w:t>在学习过程中，引导同学们学习国际交往的基本技能和行为规范并简单运用国际交往礼仪；提高国际交流合作的意识及沟通能力；积极参与国际交流实践活动、多途径了解各类国际社会的知识，提升全球胜任力。</w:t>
            </w:r>
          </w:p>
          <w:p w14:paraId="6A4D5302">
            <w:pPr>
              <w:pStyle w:val="15"/>
            </w:pPr>
            <w:r>
              <w:rPr>
                <w:rFonts w:hint="eastAsia"/>
              </w:rPr>
              <w:t>通过课文的学习，了解日本经济、社会和文化。要求学生具有具有跨文化理解能力，跨文化交际能力。</w:t>
            </w:r>
          </w:p>
          <w:p w14:paraId="3376585B">
            <w:pPr>
              <w:pStyle w:val="15"/>
            </w:pPr>
            <w:r>
              <w:rPr>
                <w:rFonts w:hint="eastAsia"/>
              </w:rPr>
              <w:t>同学们以作业分享、小组合作、生生互评的形式参与课堂互动，在合作答题的过程中养成团结合作、守望相助的团队精神，在互评中培养科学、严谨、公平、公正的治学精神。</w:t>
            </w:r>
          </w:p>
          <w:p w14:paraId="5E2872B9">
            <w:pPr>
              <w:pStyle w:val="15"/>
            </w:pPr>
            <w:r>
              <w:rPr>
                <w:rFonts w:hint="eastAsia"/>
              </w:rPr>
              <w:t>通过中日国情对比，增加中日跨文化了解。初步可以灵活所学日本文化知识和语言能力，解决中日跨文化交际等问题。</w:t>
            </w:r>
          </w:p>
        </w:tc>
      </w:tr>
    </w:tbl>
    <w:p w14:paraId="598624A1">
      <w:pPr>
        <w:pStyle w:val="17"/>
        <w:spacing w:before="326" w:beforeLines="100" w:line="360" w:lineRule="auto"/>
        <w:rPr>
          <w:rFonts w:ascii="Times New Roman" w:hAnsi="Times New Roman" w:cs="Times New Roman"/>
        </w:rPr>
      </w:pPr>
      <w:r>
        <w:rPr>
          <w:rFonts w:ascii="Times New Roman" w:hAnsi="Times New Roman" w:cs="Times New Roman"/>
        </w:rPr>
        <w:t>五、课程考核</w:t>
      </w:r>
      <w:bookmarkStart w:id="2" w:name="OLE_LINK4"/>
      <w:bookmarkStart w:id="3" w:name="OLE_LINK3"/>
    </w:p>
    <w:bookmarkEnd w:id="2"/>
    <w:bookmarkEnd w:id="3"/>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789"/>
        <w:gridCol w:w="2616"/>
        <w:gridCol w:w="680"/>
        <w:gridCol w:w="680"/>
        <w:gridCol w:w="680"/>
        <w:gridCol w:w="680"/>
        <w:gridCol w:w="682"/>
        <w:gridCol w:w="783"/>
      </w:tblGrid>
      <w:tr w14:paraId="038E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restart"/>
            <w:tcBorders>
              <w:top w:val="single" w:color="auto" w:sz="12" w:space="0"/>
              <w:left w:val="single" w:color="auto" w:sz="12" w:space="0"/>
            </w:tcBorders>
            <w:vAlign w:val="center"/>
          </w:tcPr>
          <w:p w14:paraId="0A381E37">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总评构成</w:t>
            </w:r>
          </w:p>
        </w:tc>
        <w:tc>
          <w:tcPr>
            <w:tcW w:w="463" w:type="pct"/>
            <w:vMerge w:val="restart"/>
            <w:tcBorders>
              <w:top w:val="single" w:color="auto" w:sz="12" w:space="0"/>
            </w:tcBorders>
            <w:vAlign w:val="center"/>
          </w:tcPr>
          <w:p w14:paraId="25EBE2C6">
            <w:pPr>
              <w:pStyle w:val="17"/>
              <w:widowControl w:val="0"/>
              <w:spacing w:line="240" w:lineRule="auto"/>
              <w:jc w:val="center"/>
              <w:rPr>
                <w:rFonts w:ascii="Times New Roman" w:hAnsi="Times New Roman" w:cs="Times New Roman"/>
              </w:rPr>
            </w:pPr>
            <w:r>
              <w:rPr>
                <w:rFonts w:ascii="Times New Roman" w:hAnsi="Times New Roman" w:cs="Times New Roman"/>
                <w:bCs/>
                <w:sz w:val="21"/>
                <w:szCs w:val="21"/>
              </w:rPr>
              <w:t>占比</w:t>
            </w:r>
          </w:p>
        </w:tc>
        <w:tc>
          <w:tcPr>
            <w:tcW w:w="1535" w:type="pct"/>
            <w:vMerge w:val="restart"/>
            <w:tcBorders>
              <w:top w:val="single" w:color="auto" w:sz="12" w:space="0"/>
              <w:right w:val="double" w:color="auto" w:sz="4" w:space="0"/>
            </w:tcBorders>
            <w:vAlign w:val="center"/>
          </w:tcPr>
          <w:p w14:paraId="656781A5">
            <w:pPr>
              <w:pStyle w:val="17"/>
              <w:widowControl w:val="0"/>
              <w:jc w:val="center"/>
              <w:rPr>
                <w:rFonts w:ascii="Times New Roman" w:hAnsi="Times New Roman" w:cs="Times New Roman"/>
                <w:bCs/>
                <w:sz w:val="21"/>
                <w:szCs w:val="21"/>
              </w:rPr>
            </w:pPr>
            <w:r>
              <w:rPr>
                <w:rFonts w:ascii="Times New Roman" w:hAnsi="Times New Roman" w:cs="Times New Roman"/>
                <w:bCs/>
                <w:sz w:val="21"/>
                <w:szCs w:val="21"/>
              </w:rPr>
              <w:t>考核方式</w:t>
            </w:r>
          </w:p>
        </w:tc>
        <w:tc>
          <w:tcPr>
            <w:tcW w:w="1995" w:type="pct"/>
            <w:gridSpan w:val="5"/>
            <w:tcBorders>
              <w:top w:val="single" w:color="auto" w:sz="12" w:space="0"/>
              <w:left w:val="double" w:color="auto" w:sz="4" w:space="0"/>
            </w:tcBorders>
            <w:vAlign w:val="center"/>
          </w:tcPr>
          <w:p w14:paraId="4EE58E3A">
            <w:pPr>
              <w:pStyle w:val="17"/>
              <w:widowControl w:val="0"/>
              <w:spacing w:line="240" w:lineRule="auto"/>
              <w:jc w:val="center"/>
              <w:rPr>
                <w:rFonts w:ascii="Times New Roman" w:hAnsi="Times New Roman" w:cs="Times New Roman"/>
              </w:rPr>
            </w:pPr>
            <w:r>
              <w:rPr>
                <w:rFonts w:ascii="Times New Roman" w:hAnsi="Times New Roman" w:cs="Times New Roman"/>
                <w:bCs/>
                <w:sz w:val="21"/>
                <w:szCs w:val="21"/>
              </w:rPr>
              <w:t>课程目标</w:t>
            </w:r>
          </w:p>
        </w:tc>
        <w:tc>
          <w:tcPr>
            <w:tcW w:w="459" w:type="pct"/>
            <w:vMerge w:val="restart"/>
            <w:tcBorders>
              <w:top w:val="single" w:color="auto" w:sz="12" w:space="0"/>
              <w:right w:val="single" w:color="auto" w:sz="12" w:space="0"/>
            </w:tcBorders>
            <w:vAlign w:val="center"/>
          </w:tcPr>
          <w:p w14:paraId="578E2780">
            <w:pPr>
              <w:pStyle w:val="17"/>
              <w:widowControl w:val="0"/>
              <w:spacing w:line="240" w:lineRule="auto"/>
              <w:jc w:val="center"/>
              <w:rPr>
                <w:rFonts w:ascii="Times New Roman" w:hAnsi="Times New Roman" w:cs="Times New Roman"/>
                <w:bCs/>
                <w:sz w:val="21"/>
                <w:szCs w:val="21"/>
              </w:rPr>
            </w:pPr>
            <w:r>
              <w:rPr>
                <w:rFonts w:ascii="Times New Roman" w:hAnsi="Times New Roman" w:cs="Times New Roman"/>
                <w:bCs/>
                <w:sz w:val="21"/>
                <w:szCs w:val="21"/>
              </w:rPr>
              <w:t>合计</w:t>
            </w:r>
          </w:p>
        </w:tc>
      </w:tr>
      <w:tr w14:paraId="74A7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continue"/>
            <w:tcBorders>
              <w:left w:val="single" w:color="auto" w:sz="12" w:space="0"/>
            </w:tcBorders>
          </w:tcPr>
          <w:p w14:paraId="05C3CF33">
            <w:pPr>
              <w:widowControl w:val="0"/>
              <w:snapToGrid w:val="0"/>
              <w:jc w:val="center"/>
              <w:rPr>
                <w:rFonts w:ascii="Times New Roman" w:hAnsi="Times New Roman" w:eastAsia="黑体" w:cs="Times New Roman"/>
                <w:bCs/>
                <w:sz w:val="21"/>
                <w:szCs w:val="21"/>
              </w:rPr>
            </w:pPr>
          </w:p>
        </w:tc>
        <w:tc>
          <w:tcPr>
            <w:tcW w:w="463" w:type="pct"/>
            <w:vMerge w:val="continue"/>
          </w:tcPr>
          <w:p w14:paraId="43F079FF">
            <w:pPr>
              <w:pStyle w:val="17"/>
              <w:widowControl w:val="0"/>
              <w:jc w:val="both"/>
              <w:rPr>
                <w:rFonts w:ascii="Times New Roman" w:hAnsi="Times New Roman" w:cs="Times New Roman"/>
                <w:bCs/>
                <w:sz w:val="21"/>
                <w:szCs w:val="21"/>
              </w:rPr>
            </w:pPr>
          </w:p>
        </w:tc>
        <w:tc>
          <w:tcPr>
            <w:tcW w:w="1535" w:type="pct"/>
            <w:vMerge w:val="continue"/>
            <w:tcBorders>
              <w:right w:val="double" w:color="auto" w:sz="4" w:space="0"/>
            </w:tcBorders>
          </w:tcPr>
          <w:p w14:paraId="7B84F464">
            <w:pPr>
              <w:pStyle w:val="17"/>
              <w:widowControl w:val="0"/>
              <w:jc w:val="both"/>
              <w:rPr>
                <w:rFonts w:ascii="Times New Roman" w:hAnsi="Times New Roman" w:cs="Times New Roman"/>
                <w:bCs/>
                <w:sz w:val="21"/>
                <w:szCs w:val="21"/>
              </w:rPr>
            </w:pPr>
          </w:p>
        </w:tc>
        <w:tc>
          <w:tcPr>
            <w:tcW w:w="399" w:type="pct"/>
            <w:tcBorders>
              <w:left w:val="double" w:color="auto" w:sz="4" w:space="0"/>
            </w:tcBorders>
            <w:vAlign w:val="center"/>
          </w:tcPr>
          <w:p w14:paraId="36A0887B">
            <w:pPr>
              <w:pStyle w:val="17"/>
              <w:widowControl w:val="0"/>
              <w:spacing w:line="240" w:lineRule="auto"/>
              <w:jc w:val="center"/>
              <w:rPr>
                <w:rFonts w:ascii="Times New Roman" w:hAnsi="Times New Roman" w:cs="Times New Roman"/>
                <w:bCs/>
                <w:sz w:val="21"/>
                <w:szCs w:val="21"/>
              </w:rPr>
            </w:pPr>
            <w:r>
              <w:rPr>
                <w:rFonts w:hint="eastAsia" w:ascii="Times New Roman" w:hAnsi="Times New Roman" w:cs="Times New Roman"/>
                <w:bCs/>
                <w:sz w:val="21"/>
                <w:szCs w:val="21"/>
              </w:rPr>
              <w:t>1</w:t>
            </w:r>
          </w:p>
        </w:tc>
        <w:tc>
          <w:tcPr>
            <w:tcW w:w="399" w:type="pct"/>
            <w:vAlign w:val="center"/>
          </w:tcPr>
          <w:p w14:paraId="47A09CBE">
            <w:pPr>
              <w:pStyle w:val="17"/>
              <w:widowControl w:val="0"/>
              <w:spacing w:line="240" w:lineRule="auto"/>
              <w:jc w:val="center"/>
              <w:rPr>
                <w:rFonts w:ascii="Times New Roman" w:hAnsi="Times New Roman" w:cs="Times New Roman"/>
                <w:bCs/>
                <w:sz w:val="21"/>
                <w:szCs w:val="21"/>
              </w:rPr>
            </w:pPr>
            <w:r>
              <w:rPr>
                <w:rFonts w:hint="eastAsia" w:ascii="Times New Roman" w:hAnsi="Times New Roman" w:cs="Times New Roman"/>
                <w:bCs/>
                <w:sz w:val="21"/>
                <w:szCs w:val="21"/>
              </w:rPr>
              <w:t>2</w:t>
            </w:r>
          </w:p>
        </w:tc>
        <w:tc>
          <w:tcPr>
            <w:tcW w:w="399" w:type="pct"/>
            <w:vAlign w:val="center"/>
          </w:tcPr>
          <w:p w14:paraId="77A9F87E">
            <w:pPr>
              <w:pStyle w:val="17"/>
              <w:widowControl w:val="0"/>
              <w:spacing w:line="240" w:lineRule="auto"/>
              <w:jc w:val="center"/>
              <w:rPr>
                <w:rFonts w:ascii="Times New Roman" w:hAnsi="Times New Roman" w:cs="Times New Roman"/>
                <w:bCs/>
                <w:sz w:val="21"/>
                <w:szCs w:val="21"/>
              </w:rPr>
            </w:pPr>
            <w:r>
              <w:rPr>
                <w:rFonts w:hint="eastAsia" w:ascii="Times New Roman" w:hAnsi="Times New Roman" w:cs="Times New Roman"/>
                <w:bCs/>
                <w:sz w:val="21"/>
                <w:szCs w:val="21"/>
              </w:rPr>
              <w:t>3</w:t>
            </w:r>
          </w:p>
        </w:tc>
        <w:tc>
          <w:tcPr>
            <w:tcW w:w="399" w:type="pct"/>
            <w:vAlign w:val="center"/>
          </w:tcPr>
          <w:p w14:paraId="4EAEE0F3">
            <w:pPr>
              <w:pStyle w:val="17"/>
              <w:widowControl w:val="0"/>
              <w:spacing w:line="240" w:lineRule="auto"/>
              <w:jc w:val="center"/>
              <w:rPr>
                <w:rFonts w:ascii="Times New Roman" w:hAnsi="Times New Roman" w:cs="Times New Roman"/>
                <w:bCs/>
                <w:sz w:val="21"/>
                <w:szCs w:val="21"/>
              </w:rPr>
            </w:pPr>
            <w:r>
              <w:rPr>
                <w:rFonts w:hint="eastAsia" w:ascii="Times New Roman" w:hAnsi="Times New Roman" w:cs="Times New Roman"/>
                <w:bCs/>
                <w:sz w:val="21"/>
                <w:szCs w:val="21"/>
              </w:rPr>
              <w:t>4</w:t>
            </w:r>
          </w:p>
        </w:tc>
        <w:tc>
          <w:tcPr>
            <w:tcW w:w="400" w:type="pct"/>
            <w:vAlign w:val="center"/>
          </w:tcPr>
          <w:p w14:paraId="25F8A8C4">
            <w:pPr>
              <w:pStyle w:val="17"/>
              <w:widowControl w:val="0"/>
              <w:spacing w:line="240" w:lineRule="auto"/>
              <w:jc w:val="center"/>
              <w:rPr>
                <w:rFonts w:ascii="Times New Roman" w:hAnsi="Times New Roman" w:cs="Times New Roman"/>
                <w:bCs/>
                <w:sz w:val="21"/>
                <w:szCs w:val="21"/>
              </w:rPr>
            </w:pPr>
            <w:r>
              <w:rPr>
                <w:rFonts w:hint="eastAsia" w:ascii="Times New Roman" w:hAnsi="Times New Roman" w:cs="Times New Roman"/>
                <w:bCs/>
                <w:sz w:val="21"/>
                <w:szCs w:val="21"/>
              </w:rPr>
              <w:t>5</w:t>
            </w:r>
          </w:p>
        </w:tc>
        <w:tc>
          <w:tcPr>
            <w:tcW w:w="459" w:type="pct"/>
            <w:vMerge w:val="continue"/>
            <w:tcBorders>
              <w:right w:val="single" w:color="auto" w:sz="12" w:space="0"/>
            </w:tcBorders>
          </w:tcPr>
          <w:p w14:paraId="4F6F1C8D">
            <w:pPr>
              <w:pStyle w:val="17"/>
              <w:widowControl w:val="0"/>
              <w:spacing w:line="240" w:lineRule="auto"/>
              <w:jc w:val="center"/>
              <w:rPr>
                <w:rFonts w:ascii="Times New Roman" w:hAnsi="Times New Roman" w:cs="Times New Roman"/>
                <w:bCs/>
                <w:sz w:val="21"/>
                <w:szCs w:val="21"/>
              </w:rPr>
            </w:pPr>
          </w:p>
        </w:tc>
      </w:tr>
      <w:tr w14:paraId="6B35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tcBorders>
              <w:left w:val="single" w:color="auto" w:sz="12" w:space="0"/>
            </w:tcBorders>
            <w:vAlign w:val="center"/>
          </w:tcPr>
          <w:p w14:paraId="4D754CC2">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1</w:t>
            </w:r>
          </w:p>
        </w:tc>
        <w:tc>
          <w:tcPr>
            <w:tcW w:w="463" w:type="pct"/>
          </w:tcPr>
          <w:p w14:paraId="280E8638">
            <w:pPr>
              <w:pStyle w:val="15"/>
            </w:pPr>
            <w:r>
              <w:rPr>
                <w:rFonts w:hint="eastAsia"/>
              </w:rPr>
              <w:t>60%</w:t>
            </w:r>
          </w:p>
        </w:tc>
        <w:tc>
          <w:tcPr>
            <w:tcW w:w="1535" w:type="pct"/>
            <w:tcBorders>
              <w:right w:val="double" w:color="auto" w:sz="4" w:space="0"/>
            </w:tcBorders>
          </w:tcPr>
          <w:p w14:paraId="503FE0B8">
            <w:pPr>
              <w:pStyle w:val="15"/>
            </w:pPr>
            <w:r>
              <w:rPr>
                <w:rFonts w:hint="eastAsia"/>
              </w:rPr>
              <w:t>期末闭卷考试</w:t>
            </w:r>
          </w:p>
        </w:tc>
        <w:tc>
          <w:tcPr>
            <w:tcW w:w="399" w:type="pct"/>
            <w:tcBorders>
              <w:left w:val="double" w:color="auto" w:sz="4" w:space="0"/>
            </w:tcBorders>
            <w:vAlign w:val="center"/>
          </w:tcPr>
          <w:p w14:paraId="3D9CCC89">
            <w:pPr>
              <w:pStyle w:val="15"/>
            </w:pPr>
            <w:r>
              <w:rPr>
                <w:rFonts w:hint="eastAsia"/>
              </w:rPr>
              <w:t>2</w:t>
            </w:r>
            <w:r>
              <w:t>5</w:t>
            </w:r>
          </w:p>
        </w:tc>
        <w:tc>
          <w:tcPr>
            <w:tcW w:w="399" w:type="pct"/>
            <w:vAlign w:val="center"/>
          </w:tcPr>
          <w:p w14:paraId="435F6781">
            <w:pPr>
              <w:pStyle w:val="15"/>
            </w:pPr>
            <w:r>
              <w:rPr>
                <w:rFonts w:hint="eastAsia"/>
              </w:rPr>
              <w:t>2</w:t>
            </w:r>
            <w:r>
              <w:t>5</w:t>
            </w:r>
          </w:p>
        </w:tc>
        <w:tc>
          <w:tcPr>
            <w:tcW w:w="399" w:type="pct"/>
            <w:vAlign w:val="center"/>
          </w:tcPr>
          <w:p w14:paraId="3E12A17F">
            <w:pPr>
              <w:pStyle w:val="15"/>
            </w:pPr>
            <w:r>
              <w:rPr>
                <w:rFonts w:hint="eastAsia"/>
              </w:rPr>
              <w:t>2</w:t>
            </w:r>
            <w:r>
              <w:t>0</w:t>
            </w:r>
          </w:p>
        </w:tc>
        <w:tc>
          <w:tcPr>
            <w:tcW w:w="399" w:type="pct"/>
            <w:vAlign w:val="center"/>
          </w:tcPr>
          <w:p w14:paraId="6BCA529C">
            <w:pPr>
              <w:pStyle w:val="15"/>
            </w:pPr>
            <w:r>
              <w:rPr>
                <w:rFonts w:hint="eastAsia"/>
              </w:rPr>
              <w:t>2</w:t>
            </w:r>
            <w:r>
              <w:t>0</w:t>
            </w:r>
          </w:p>
        </w:tc>
        <w:tc>
          <w:tcPr>
            <w:tcW w:w="400" w:type="pct"/>
            <w:vAlign w:val="center"/>
          </w:tcPr>
          <w:p w14:paraId="4BD023D5">
            <w:pPr>
              <w:pStyle w:val="15"/>
            </w:pPr>
            <w:r>
              <w:rPr>
                <w:rFonts w:hint="eastAsia"/>
              </w:rPr>
              <w:t>1</w:t>
            </w:r>
            <w:r>
              <w:t>0</w:t>
            </w:r>
          </w:p>
        </w:tc>
        <w:tc>
          <w:tcPr>
            <w:tcW w:w="459" w:type="pct"/>
            <w:tcBorders>
              <w:right w:val="single" w:color="auto" w:sz="12" w:space="0"/>
            </w:tcBorders>
            <w:vAlign w:val="center"/>
          </w:tcPr>
          <w:p w14:paraId="0AFB7148">
            <w:pPr>
              <w:pStyle w:val="15"/>
            </w:pPr>
            <w:r>
              <w:t>100</w:t>
            </w:r>
          </w:p>
        </w:tc>
      </w:tr>
      <w:tr w14:paraId="4D7B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tcBorders>
              <w:left w:val="single" w:color="auto" w:sz="12" w:space="0"/>
            </w:tcBorders>
            <w:vAlign w:val="center"/>
          </w:tcPr>
          <w:p w14:paraId="019E08CF">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X1</w:t>
            </w:r>
          </w:p>
        </w:tc>
        <w:tc>
          <w:tcPr>
            <w:tcW w:w="463" w:type="pct"/>
          </w:tcPr>
          <w:p w14:paraId="26C4AB2B">
            <w:pPr>
              <w:pStyle w:val="15"/>
            </w:pPr>
            <w:r>
              <w:rPr>
                <w:rFonts w:hint="eastAsia"/>
              </w:rPr>
              <w:t>15%</w:t>
            </w:r>
          </w:p>
        </w:tc>
        <w:tc>
          <w:tcPr>
            <w:tcW w:w="1535" w:type="pct"/>
            <w:tcBorders>
              <w:right w:val="double" w:color="auto" w:sz="4" w:space="0"/>
            </w:tcBorders>
          </w:tcPr>
          <w:p w14:paraId="61E74C6A">
            <w:pPr>
              <w:pStyle w:val="15"/>
            </w:pPr>
            <w:r>
              <w:rPr>
                <w:rFonts w:hint="eastAsia"/>
              </w:rPr>
              <w:t>随堂测试+作业+课堂表现</w:t>
            </w:r>
          </w:p>
        </w:tc>
        <w:tc>
          <w:tcPr>
            <w:tcW w:w="399" w:type="pct"/>
            <w:tcBorders>
              <w:left w:val="double" w:color="auto" w:sz="4" w:space="0"/>
            </w:tcBorders>
            <w:vAlign w:val="center"/>
          </w:tcPr>
          <w:p w14:paraId="016B61E8">
            <w:pPr>
              <w:pStyle w:val="15"/>
            </w:pPr>
            <w:r>
              <w:rPr>
                <w:rFonts w:hint="eastAsia"/>
              </w:rPr>
              <w:t>3</w:t>
            </w:r>
            <w:r>
              <w:t>0</w:t>
            </w:r>
          </w:p>
        </w:tc>
        <w:tc>
          <w:tcPr>
            <w:tcW w:w="399" w:type="pct"/>
            <w:vAlign w:val="center"/>
          </w:tcPr>
          <w:p w14:paraId="0F979F8E">
            <w:pPr>
              <w:pStyle w:val="15"/>
            </w:pPr>
            <w:r>
              <w:rPr>
                <w:rFonts w:hint="eastAsia"/>
              </w:rPr>
              <w:t>2</w:t>
            </w:r>
            <w:r>
              <w:t>0</w:t>
            </w:r>
          </w:p>
        </w:tc>
        <w:tc>
          <w:tcPr>
            <w:tcW w:w="399" w:type="pct"/>
            <w:vAlign w:val="center"/>
          </w:tcPr>
          <w:p w14:paraId="46D0CCC0">
            <w:pPr>
              <w:pStyle w:val="15"/>
            </w:pPr>
            <w:r>
              <w:rPr>
                <w:rFonts w:hint="eastAsia"/>
              </w:rPr>
              <w:t>2</w:t>
            </w:r>
            <w:r>
              <w:t>0</w:t>
            </w:r>
          </w:p>
        </w:tc>
        <w:tc>
          <w:tcPr>
            <w:tcW w:w="399" w:type="pct"/>
            <w:vAlign w:val="center"/>
          </w:tcPr>
          <w:p w14:paraId="534BAFA3">
            <w:pPr>
              <w:pStyle w:val="15"/>
            </w:pPr>
            <w:r>
              <w:rPr>
                <w:rFonts w:hint="eastAsia"/>
              </w:rPr>
              <w:t>2</w:t>
            </w:r>
            <w:r>
              <w:t>0</w:t>
            </w:r>
          </w:p>
        </w:tc>
        <w:tc>
          <w:tcPr>
            <w:tcW w:w="400" w:type="pct"/>
            <w:vAlign w:val="center"/>
          </w:tcPr>
          <w:p w14:paraId="199DE61F">
            <w:pPr>
              <w:pStyle w:val="15"/>
            </w:pPr>
            <w:r>
              <w:t>10</w:t>
            </w:r>
          </w:p>
        </w:tc>
        <w:tc>
          <w:tcPr>
            <w:tcW w:w="459" w:type="pct"/>
            <w:tcBorders>
              <w:right w:val="single" w:color="auto" w:sz="12" w:space="0"/>
            </w:tcBorders>
            <w:vAlign w:val="center"/>
          </w:tcPr>
          <w:p w14:paraId="5991E7EF">
            <w:pPr>
              <w:pStyle w:val="15"/>
            </w:pPr>
            <w:r>
              <w:t>100</w:t>
            </w:r>
          </w:p>
        </w:tc>
      </w:tr>
      <w:tr w14:paraId="328E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tcBorders>
              <w:left w:val="single" w:color="auto" w:sz="12" w:space="0"/>
            </w:tcBorders>
            <w:vAlign w:val="center"/>
          </w:tcPr>
          <w:p w14:paraId="1D25DE85">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X2</w:t>
            </w:r>
          </w:p>
        </w:tc>
        <w:tc>
          <w:tcPr>
            <w:tcW w:w="463" w:type="pct"/>
          </w:tcPr>
          <w:p w14:paraId="50D66889">
            <w:pPr>
              <w:pStyle w:val="15"/>
            </w:pPr>
            <w:r>
              <w:rPr>
                <w:rFonts w:hint="eastAsia"/>
              </w:rPr>
              <w:t>10%</w:t>
            </w:r>
          </w:p>
        </w:tc>
        <w:tc>
          <w:tcPr>
            <w:tcW w:w="1535" w:type="pct"/>
            <w:tcBorders>
              <w:right w:val="double" w:color="auto" w:sz="4" w:space="0"/>
            </w:tcBorders>
          </w:tcPr>
          <w:p w14:paraId="4C752FE7">
            <w:pPr>
              <w:pStyle w:val="15"/>
            </w:pPr>
            <w:r>
              <w:rPr>
                <w:rFonts w:hint="eastAsia"/>
              </w:rPr>
              <w:t>随堂测试+作业+课堂表现</w:t>
            </w:r>
          </w:p>
        </w:tc>
        <w:tc>
          <w:tcPr>
            <w:tcW w:w="399" w:type="pct"/>
            <w:tcBorders>
              <w:left w:val="double" w:color="auto" w:sz="4" w:space="0"/>
            </w:tcBorders>
            <w:vAlign w:val="center"/>
          </w:tcPr>
          <w:p w14:paraId="46BB8C7B">
            <w:pPr>
              <w:pStyle w:val="15"/>
            </w:pPr>
            <w:r>
              <w:t>20</w:t>
            </w:r>
          </w:p>
        </w:tc>
        <w:tc>
          <w:tcPr>
            <w:tcW w:w="399" w:type="pct"/>
            <w:vAlign w:val="center"/>
          </w:tcPr>
          <w:p w14:paraId="2409232D">
            <w:pPr>
              <w:pStyle w:val="15"/>
            </w:pPr>
            <w:r>
              <w:rPr>
                <w:rFonts w:hint="eastAsia"/>
              </w:rPr>
              <w:t>2</w:t>
            </w:r>
            <w:r>
              <w:t>5</w:t>
            </w:r>
          </w:p>
        </w:tc>
        <w:tc>
          <w:tcPr>
            <w:tcW w:w="399" w:type="pct"/>
            <w:vAlign w:val="center"/>
          </w:tcPr>
          <w:p w14:paraId="0D973CAF">
            <w:pPr>
              <w:pStyle w:val="15"/>
            </w:pPr>
            <w:r>
              <w:rPr>
                <w:rFonts w:hint="eastAsia"/>
              </w:rPr>
              <w:t>2</w:t>
            </w:r>
            <w:r>
              <w:t>5</w:t>
            </w:r>
          </w:p>
        </w:tc>
        <w:tc>
          <w:tcPr>
            <w:tcW w:w="399" w:type="pct"/>
            <w:vAlign w:val="center"/>
          </w:tcPr>
          <w:p w14:paraId="7DFFB60D">
            <w:pPr>
              <w:pStyle w:val="15"/>
            </w:pPr>
            <w:r>
              <w:rPr>
                <w:rFonts w:hint="eastAsia"/>
              </w:rPr>
              <w:t>2</w:t>
            </w:r>
            <w:r>
              <w:t>0</w:t>
            </w:r>
          </w:p>
        </w:tc>
        <w:tc>
          <w:tcPr>
            <w:tcW w:w="400" w:type="pct"/>
            <w:vAlign w:val="center"/>
          </w:tcPr>
          <w:p w14:paraId="55F7FE91">
            <w:pPr>
              <w:pStyle w:val="15"/>
            </w:pPr>
            <w:r>
              <w:t>10</w:t>
            </w:r>
          </w:p>
        </w:tc>
        <w:tc>
          <w:tcPr>
            <w:tcW w:w="459" w:type="pct"/>
            <w:tcBorders>
              <w:right w:val="single" w:color="auto" w:sz="12" w:space="0"/>
            </w:tcBorders>
            <w:vAlign w:val="center"/>
          </w:tcPr>
          <w:p w14:paraId="25EDE59B">
            <w:pPr>
              <w:pStyle w:val="15"/>
            </w:pPr>
            <w:r>
              <w:t>100</w:t>
            </w:r>
          </w:p>
        </w:tc>
      </w:tr>
      <w:tr w14:paraId="311A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tcBorders>
              <w:left w:val="single" w:color="auto" w:sz="12" w:space="0"/>
            </w:tcBorders>
            <w:vAlign w:val="center"/>
          </w:tcPr>
          <w:p w14:paraId="1519CA56">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X3</w:t>
            </w:r>
          </w:p>
        </w:tc>
        <w:tc>
          <w:tcPr>
            <w:tcW w:w="463" w:type="pct"/>
          </w:tcPr>
          <w:p w14:paraId="1973FE31">
            <w:pPr>
              <w:pStyle w:val="15"/>
            </w:pPr>
            <w:r>
              <w:rPr>
                <w:rFonts w:hint="eastAsia"/>
              </w:rPr>
              <w:t>15%</w:t>
            </w:r>
          </w:p>
        </w:tc>
        <w:tc>
          <w:tcPr>
            <w:tcW w:w="1535" w:type="pct"/>
            <w:tcBorders>
              <w:right w:val="double" w:color="auto" w:sz="4" w:space="0"/>
            </w:tcBorders>
          </w:tcPr>
          <w:p w14:paraId="11EB5314">
            <w:pPr>
              <w:pStyle w:val="15"/>
            </w:pPr>
            <w:r>
              <w:rPr>
                <w:rFonts w:hint="eastAsia"/>
                <w:lang w:bidi="ar"/>
              </w:rPr>
              <w:t>随堂测试+作业+课堂表现</w:t>
            </w:r>
          </w:p>
        </w:tc>
        <w:tc>
          <w:tcPr>
            <w:tcW w:w="399" w:type="pct"/>
            <w:tcBorders>
              <w:left w:val="double" w:color="auto" w:sz="4" w:space="0"/>
            </w:tcBorders>
            <w:vAlign w:val="center"/>
          </w:tcPr>
          <w:p w14:paraId="0BDEDF5D">
            <w:pPr>
              <w:pStyle w:val="15"/>
            </w:pPr>
            <w:r>
              <w:rPr>
                <w:rFonts w:hint="eastAsia"/>
              </w:rPr>
              <w:t>2</w:t>
            </w:r>
            <w:r>
              <w:t>0</w:t>
            </w:r>
          </w:p>
        </w:tc>
        <w:tc>
          <w:tcPr>
            <w:tcW w:w="399" w:type="pct"/>
            <w:vAlign w:val="center"/>
          </w:tcPr>
          <w:p w14:paraId="002BB600">
            <w:pPr>
              <w:pStyle w:val="15"/>
            </w:pPr>
            <w:r>
              <w:rPr>
                <w:rFonts w:hint="eastAsia"/>
              </w:rPr>
              <w:t>2</w:t>
            </w:r>
            <w:r>
              <w:t>0</w:t>
            </w:r>
          </w:p>
        </w:tc>
        <w:tc>
          <w:tcPr>
            <w:tcW w:w="399" w:type="pct"/>
            <w:vAlign w:val="center"/>
          </w:tcPr>
          <w:p w14:paraId="27F1CEDB">
            <w:pPr>
              <w:pStyle w:val="15"/>
            </w:pPr>
            <w:r>
              <w:rPr>
                <w:rFonts w:hint="eastAsia"/>
              </w:rPr>
              <w:t>2</w:t>
            </w:r>
            <w:r>
              <w:t>0</w:t>
            </w:r>
          </w:p>
        </w:tc>
        <w:tc>
          <w:tcPr>
            <w:tcW w:w="399" w:type="pct"/>
            <w:vAlign w:val="center"/>
          </w:tcPr>
          <w:p w14:paraId="02996B86">
            <w:pPr>
              <w:pStyle w:val="15"/>
            </w:pPr>
            <w:r>
              <w:rPr>
                <w:rFonts w:hint="eastAsia"/>
              </w:rPr>
              <w:t>3</w:t>
            </w:r>
            <w:r>
              <w:t>0</w:t>
            </w:r>
          </w:p>
        </w:tc>
        <w:tc>
          <w:tcPr>
            <w:tcW w:w="400" w:type="pct"/>
            <w:vAlign w:val="center"/>
          </w:tcPr>
          <w:p w14:paraId="52BEABE0">
            <w:pPr>
              <w:pStyle w:val="15"/>
            </w:pPr>
            <w:r>
              <w:t>10</w:t>
            </w:r>
          </w:p>
        </w:tc>
        <w:tc>
          <w:tcPr>
            <w:tcW w:w="459" w:type="pct"/>
            <w:tcBorders>
              <w:right w:val="single" w:color="auto" w:sz="12" w:space="0"/>
            </w:tcBorders>
            <w:vAlign w:val="center"/>
          </w:tcPr>
          <w:p w14:paraId="77D4930E">
            <w:pPr>
              <w:pStyle w:val="15"/>
            </w:pPr>
            <w:r>
              <w:t>100</w:t>
            </w:r>
          </w:p>
        </w:tc>
      </w:tr>
    </w:tbl>
    <w:p w14:paraId="5FAFF487">
      <w:pPr>
        <w:pStyle w:val="18"/>
        <w:spacing w:before="326" w:beforeLines="100" w:after="163"/>
        <w:jc w:val="center"/>
        <w:rPr>
          <w:rFonts w:cs="Times New Roman"/>
        </w:rPr>
      </w:pPr>
    </w:p>
    <w:p w14:paraId="7C44BAE7">
      <w:pPr>
        <w:pStyle w:val="18"/>
        <w:spacing w:before="326" w:beforeLines="100" w:after="163"/>
        <w:jc w:val="center"/>
        <w:rPr>
          <w:rFonts w:cs="Times New Roman"/>
        </w:rPr>
      </w:pPr>
      <w:r>
        <w:rPr>
          <w:rFonts w:cs="Times New Roman"/>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667"/>
        <w:gridCol w:w="1605"/>
        <w:gridCol w:w="1460"/>
        <w:gridCol w:w="1459"/>
        <w:gridCol w:w="1254"/>
        <w:gridCol w:w="1446"/>
      </w:tblGrid>
      <w:tr w14:paraId="0B1B0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73C32447">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考核项目</w:t>
            </w:r>
          </w:p>
        </w:tc>
        <w:tc>
          <w:tcPr>
            <w:tcW w:w="648" w:type="dxa"/>
            <w:vMerge w:val="restart"/>
          </w:tcPr>
          <w:p w14:paraId="2053BB72">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课</w:t>
            </w:r>
          </w:p>
          <w:p w14:paraId="474ABD6F">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程</w:t>
            </w:r>
          </w:p>
          <w:p w14:paraId="19522DEF">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目</w:t>
            </w:r>
          </w:p>
          <w:p w14:paraId="00B8DECD">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标</w:t>
            </w:r>
          </w:p>
        </w:tc>
        <w:tc>
          <w:tcPr>
            <w:tcW w:w="1559" w:type="dxa"/>
            <w:vMerge w:val="restart"/>
            <w:vAlign w:val="center"/>
          </w:tcPr>
          <w:p w14:paraId="4F48220F">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考核要求</w:t>
            </w:r>
          </w:p>
        </w:tc>
        <w:tc>
          <w:tcPr>
            <w:tcW w:w="5456" w:type="dxa"/>
            <w:gridSpan w:val="4"/>
            <w:vAlign w:val="center"/>
          </w:tcPr>
          <w:p w14:paraId="1D4F6D26">
            <w:pPr>
              <w:pStyle w:val="17"/>
              <w:widowControl w:val="0"/>
              <w:spacing w:line="240" w:lineRule="auto"/>
              <w:jc w:val="center"/>
              <w:rPr>
                <w:rFonts w:ascii="Times New Roman" w:hAnsi="Times New Roman" w:cs="Times New Roman"/>
                <w:bCs/>
                <w:sz w:val="21"/>
                <w:szCs w:val="21"/>
              </w:rPr>
            </w:pPr>
            <w:r>
              <w:rPr>
                <w:rFonts w:ascii="Times New Roman" w:hAnsi="Times New Roman" w:cs="Times New Roman"/>
                <w:bCs/>
                <w:sz w:val="21"/>
                <w:szCs w:val="21"/>
              </w:rPr>
              <w:t>评价标准</w:t>
            </w:r>
          </w:p>
        </w:tc>
      </w:tr>
      <w:tr w14:paraId="48CC1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26B39528">
            <w:pPr>
              <w:widowControl w:val="0"/>
              <w:snapToGrid w:val="0"/>
              <w:jc w:val="center"/>
              <w:rPr>
                <w:rFonts w:ascii="Times New Roman" w:hAnsi="Times New Roman" w:eastAsia="黑体" w:cs="Times New Roman"/>
                <w:bCs/>
                <w:sz w:val="21"/>
                <w:szCs w:val="21"/>
              </w:rPr>
            </w:pPr>
          </w:p>
        </w:tc>
        <w:tc>
          <w:tcPr>
            <w:tcW w:w="648" w:type="dxa"/>
            <w:vMerge w:val="continue"/>
          </w:tcPr>
          <w:p w14:paraId="526DE4B0">
            <w:pPr>
              <w:pStyle w:val="17"/>
              <w:widowControl w:val="0"/>
              <w:jc w:val="both"/>
              <w:rPr>
                <w:rFonts w:ascii="Times New Roman" w:hAnsi="Times New Roman" w:cs="Times New Roman"/>
                <w:bCs/>
                <w:sz w:val="21"/>
                <w:szCs w:val="21"/>
              </w:rPr>
            </w:pPr>
          </w:p>
        </w:tc>
        <w:tc>
          <w:tcPr>
            <w:tcW w:w="1559" w:type="dxa"/>
            <w:vMerge w:val="continue"/>
          </w:tcPr>
          <w:p w14:paraId="5CEB26E0">
            <w:pPr>
              <w:pStyle w:val="17"/>
              <w:widowControl w:val="0"/>
              <w:jc w:val="both"/>
              <w:rPr>
                <w:rFonts w:ascii="Times New Roman" w:hAnsi="Times New Roman" w:cs="Times New Roman"/>
                <w:bCs/>
                <w:sz w:val="21"/>
                <w:szCs w:val="21"/>
              </w:rPr>
            </w:pPr>
          </w:p>
        </w:tc>
        <w:tc>
          <w:tcPr>
            <w:tcW w:w="1418" w:type="dxa"/>
            <w:vAlign w:val="center"/>
          </w:tcPr>
          <w:p w14:paraId="443F51A4">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优</w:t>
            </w:r>
          </w:p>
          <w:p w14:paraId="4C2BDA7E">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100-90</w:t>
            </w:r>
          </w:p>
        </w:tc>
        <w:tc>
          <w:tcPr>
            <w:tcW w:w="1417" w:type="dxa"/>
            <w:vAlign w:val="center"/>
          </w:tcPr>
          <w:p w14:paraId="4969EC6A">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良</w:t>
            </w:r>
          </w:p>
          <w:p w14:paraId="7F9F73C6">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89-75</w:t>
            </w:r>
          </w:p>
        </w:tc>
        <w:tc>
          <w:tcPr>
            <w:tcW w:w="1218" w:type="dxa"/>
            <w:vAlign w:val="center"/>
          </w:tcPr>
          <w:p w14:paraId="232967E5">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中</w:t>
            </w:r>
          </w:p>
          <w:p w14:paraId="06838480">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74-60</w:t>
            </w:r>
          </w:p>
        </w:tc>
        <w:tc>
          <w:tcPr>
            <w:tcW w:w="1403" w:type="dxa"/>
            <w:vAlign w:val="center"/>
          </w:tcPr>
          <w:p w14:paraId="7E7EE0D6">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不及格</w:t>
            </w:r>
          </w:p>
          <w:p w14:paraId="648476BD">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59-0</w:t>
            </w:r>
          </w:p>
        </w:tc>
      </w:tr>
      <w:tr w14:paraId="32A7A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91D06C1">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1</w:t>
            </w:r>
          </w:p>
        </w:tc>
        <w:tc>
          <w:tcPr>
            <w:tcW w:w="648" w:type="dxa"/>
            <w:vAlign w:val="center"/>
          </w:tcPr>
          <w:p w14:paraId="4998FC32">
            <w:pPr>
              <w:widowControl w:val="0"/>
              <w:snapToGrid w:val="0"/>
              <w:jc w:val="center"/>
              <w:rPr>
                <w:rFonts w:ascii="Times New Roman" w:hAnsi="Times New Roman" w:eastAsia="黑体" w:cs="Times New Roman"/>
                <w:bCs/>
                <w:sz w:val="21"/>
                <w:szCs w:val="21"/>
              </w:rPr>
            </w:pPr>
            <w:r>
              <w:rPr>
                <w:rFonts w:hint="eastAsia" w:ascii="Times New Roman" w:hAnsi="Times New Roman" w:eastAsia="黑体" w:cs="Times New Roman"/>
                <w:bCs/>
                <w:sz w:val="21"/>
                <w:szCs w:val="21"/>
              </w:rPr>
              <w:t>1</w:t>
            </w:r>
            <w:r>
              <w:rPr>
                <w:rFonts w:ascii="Times New Roman" w:hAnsi="Times New Roman" w:eastAsia="黑体" w:cs="Times New Roman"/>
                <w:bCs/>
                <w:sz w:val="21"/>
                <w:szCs w:val="21"/>
              </w:rPr>
              <w:t>-4</w:t>
            </w:r>
          </w:p>
        </w:tc>
        <w:tc>
          <w:tcPr>
            <w:tcW w:w="1559" w:type="dxa"/>
          </w:tcPr>
          <w:p w14:paraId="0D0FDB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19"/>
                <w:szCs w:val="19"/>
              </w:rPr>
            </w:pPr>
            <w:r>
              <w:rPr>
                <w:rFonts w:hint="eastAsia" w:ascii="Times New Roman" w:hAnsi="Times New Roman" w:cs="Times New Roman" w:eastAsiaTheme="minorEastAsia"/>
                <w:color w:val="000000"/>
                <w:sz w:val="19"/>
                <w:szCs w:val="19"/>
              </w:rPr>
              <w:t>掌握各项日语阅读技能，包括细读本文和会话，泛读课文应用文等，提高分析归纳、推理检验等逻辑思维能力。对课文涉及的话题有自己的想法，能对文章观点进行简单的评价。</w:t>
            </w:r>
          </w:p>
        </w:tc>
        <w:tc>
          <w:tcPr>
            <w:tcW w:w="1418" w:type="dxa"/>
            <w:vAlign w:val="center"/>
          </w:tcPr>
          <w:p w14:paraId="3454BB6D">
            <w:pPr>
              <w:pStyle w:val="15"/>
            </w:pPr>
            <w:r>
              <w:rPr>
                <w:rFonts w:hint="eastAsia"/>
              </w:rPr>
              <w:t>在试卷中，对各知识单元的掌握程度全面达到预期学习结果，错误率在1</w:t>
            </w:r>
            <w:r>
              <w:t>0%</w:t>
            </w:r>
            <w:r>
              <w:rPr>
                <w:rFonts w:hint="eastAsia"/>
              </w:rPr>
              <w:t>以下。</w:t>
            </w:r>
          </w:p>
        </w:tc>
        <w:tc>
          <w:tcPr>
            <w:tcW w:w="1417" w:type="dxa"/>
            <w:vAlign w:val="center"/>
          </w:tcPr>
          <w:p w14:paraId="31A715AC">
            <w:pPr>
              <w:pStyle w:val="15"/>
            </w:pPr>
            <w:r>
              <w:rPr>
                <w:rFonts w:hint="eastAsia"/>
              </w:rPr>
              <w:t>在试卷中，对各知识单元的掌握程度较好达到预期学习结果，错误率在</w:t>
            </w:r>
            <w:r>
              <w:t>20%</w:t>
            </w:r>
            <w:r>
              <w:rPr>
                <w:rFonts w:hint="eastAsia"/>
              </w:rPr>
              <w:t>左右。</w:t>
            </w:r>
          </w:p>
        </w:tc>
        <w:tc>
          <w:tcPr>
            <w:tcW w:w="1218" w:type="dxa"/>
            <w:vAlign w:val="center"/>
          </w:tcPr>
          <w:p w14:paraId="71F72F7D">
            <w:pPr>
              <w:pStyle w:val="15"/>
            </w:pPr>
            <w:r>
              <w:rPr>
                <w:rFonts w:hint="eastAsia"/>
              </w:rPr>
              <w:t>在试卷中，对各知识单元的掌握程度基本达到预期学习结果，错误率在</w:t>
            </w:r>
            <w:r>
              <w:t>30%</w:t>
            </w:r>
            <w:r>
              <w:rPr>
                <w:rFonts w:hint="eastAsia"/>
              </w:rPr>
              <w:t>左右。</w:t>
            </w:r>
          </w:p>
        </w:tc>
        <w:tc>
          <w:tcPr>
            <w:tcW w:w="1403" w:type="dxa"/>
            <w:vAlign w:val="center"/>
          </w:tcPr>
          <w:p w14:paraId="32E5BD9B">
            <w:pPr>
              <w:pStyle w:val="7"/>
              <w:widowControl/>
              <w:shd w:val="clear" w:color="auto" w:fill="FFFFFF"/>
              <w:jc w:val="both"/>
              <w:rPr>
                <w:rFonts w:ascii="Times New Roman" w:hAnsi="Times New Roman" w:cs="Times New Roman"/>
              </w:rPr>
            </w:pPr>
            <w:r>
              <w:rPr>
                <w:rFonts w:hint="eastAsia" w:cs="Times New Roman"/>
                <w:sz w:val="20"/>
                <w:szCs w:val="20"/>
              </w:rPr>
              <w:t>在试卷中，对各知识单元的掌握程度不到预期学习结果，错误率在</w:t>
            </w:r>
            <w:r>
              <w:rPr>
                <w:rFonts w:cs="Times New Roman"/>
                <w:sz w:val="20"/>
                <w:szCs w:val="20"/>
              </w:rPr>
              <w:t>40%</w:t>
            </w:r>
            <w:r>
              <w:rPr>
                <w:rFonts w:hint="eastAsia" w:cs="Times New Roman"/>
                <w:sz w:val="20"/>
                <w:szCs w:val="20"/>
              </w:rPr>
              <w:t>以上。</w:t>
            </w:r>
          </w:p>
        </w:tc>
      </w:tr>
      <w:tr w14:paraId="7A9A1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580C9F6">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X1</w:t>
            </w:r>
          </w:p>
        </w:tc>
        <w:tc>
          <w:tcPr>
            <w:tcW w:w="648" w:type="dxa"/>
            <w:vAlign w:val="center"/>
          </w:tcPr>
          <w:p w14:paraId="18D0CEA4">
            <w:pPr>
              <w:widowControl w:val="0"/>
              <w:snapToGrid w:val="0"/>
              <w:jc w:val="center"/>
              <w:rPr>
                <w:rFonts w:ascii="Times New Roman" w:hAnsi="Times New Roman" w:eastAsia="黑体" w:cs="Times New Roman"/>
                <w:bCs/>
                <w:sz w:val="21"/>
                <w:szCs w:val="21"/>
              </w:rPr>
            </w:pPr>
            <w:r>
              <w:rPr>
                <w:rFonts w:hint="eastAsia" w:ascii="Times New Roman" w:hAnsi="Times New Roman" w:eastAsia="黑体" w:cs="Times New Roman"/>
                <w:bCs/>
                <w:sz w:val="21"/>
                <w:szCs w:val="21"/>
              </w:rPr>
              <w:t>1、2</w:t>
            </w:r>
          </w:p>
        </w:tc>
        <w:tc>
          <w:tcPr>
            <w:tcW w:w="1559" w:type="dxa"/>
            <w:vAlign w:val="center"/>
          </w:tcPr>
          <w:p w14:paraId="1D942F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19"/>
                <w:szCs w:val="19"/>
              </w:rPr>
            </w:pPr>
            <w:r>
              <w:rPr>
                <w:rFonts w:hint="eastAsia" w:ascii="Calibri" w:hAnsi="Calibri" w:cs="Times New Roman"/>
                <w:color w:val="000000"/>
                <w:sz w:val="20"/>
                <w:szCs w:val="20"/>
              </w:rPr>
              <w:t>能听懂正常语速下的日语对话，根据语调和重音理解说话者的意图，能听懂语段内容，并提取信息和观点。</w:t>
            </w:r>
          </w:p>
        </w:tc>
        <w:tc>
          <w:tcPr>
            <w:tcW w:w="1418" w:type="dxa"/>
            <w:vAlign w:val="center"/>
          </w:tcPr>
          <w:p w14:paraId="58E03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19"/>
                <w:szCs w:val="19"/>
              </w:rPr>
            </w:pPr>
            <w:r>
              <w:rPr>
                <w:rFonts w:hint="eastAsia" w:cs="Times New Roman"/>
                <w:sz w:val="20"/>
                <w:szCs w:val="20"/>
              </w:rPr>
              <w:t>在试卷中，对各知识单元的掌握程度全面达到预期学习结果，错误率在1</w:t>
            </w:r>
            <w:r>
              <w:rPr>
                <w:rFonts w:cs="Times New Roman"/>
                <w:sz w:val="20"/>
                <w:szCs w:val="20"/>
              </w:rPr>
              <w:t>0%</w:t>
            </w:r>
            <w:r>
              <w:rPr>
                <w:rFonts w:hint="eastAsia" w:cs="Times New Roman"/>
                <w:sz w:val="20"/>
                <w:szCs w:val="20"/>
              </w:rPr>
              <w:t>以下。</w:t>
            </w:r>
          </w:p>
        </w:tc>
        <w:tc>
          <w:tcPr>
            <w:tcW w:w="1417" w:type="dxa"/>
            <w:vAlign w:val="center"/>
          </w:tcPr>
          <w:p w14:paraId="2C4E62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19"/>
                <w:szCs w:val="19"/>
              </w:rPr>
            </w:pPr>
            <w:r>
              <w:rPr>
                <w:rFonts w:hint="eastAsia" w:cs="Times New Roman"/>
                <w:sz w:val="20"/>
                <w:szCs w:val="20"/>
              </w:rPr>
              <w:t>在试卷中，对各知识单元的掌握程度较好达到预期学习结果，错误率在</w:t>
            </w:r>
            <w:r>
              <w:rPr>
                <w:rFonts w:cs="Times New Roman"/>
                <w:sz w:val="20"/>
                <w:szCs w:val="20"/>
              </w:rPr>
              <w:t>20%</w:t>
            </w:r>
            <w:r>
              <w:rPr>
                <w:rFonts w:hint="eastAsia" w:cs="Times New Roman"/>
                <w:sz w:val="20"/>
                <w:szCs w:val="20"/>
              </w:rPr>
              <w:t>左右。</w:t>
            </w:r>
          </w:p>
        </w:tc>
        <w:tc>
          <w:tcPr>
            <w:tcW w:w="1218" w:type="dxa"/>
            <w:vAlign w:val="center"/>
          </w:tcPr>
          <w:p w14:paraId="56263D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19"/>
                <w:szCs w:val="19"/>
              </w:rPr>
            </w:pPr>
            <w:r>
              <w:rPr>
                <w:rFonts w:hint="eastAsia" w:cs="Times New Roman"/>
                <w:sz w:val="20"/>
                <w:szCs w:val="20"/>
              </w:rPr>
              <w:t>在试卷中，对各知识单元的掌握程度基本达到预期学习结果，错误率在</w:t>
            </w:r>
            <w:r>
              <w:rPr>
                <w:rFonts w:cs="Times New Roman"/>
                <w:sz w:val="20"/>
                <w:szCs w:val="20"/>
              </w:rPr>
              <w:t>30%</w:t>
            </w:r>
            <w:r>
              <w:rPr>
                <w:rFonts w:hint="eastAsia" w:cs="Times New Roman"/>
                <w:sz w:val="20"/>
                <w:szCs w:val="20"/>
              </w:rPr>
              <w:t>左右。</w:t>
            </w:r>
          </w:p>
        </w:tc>
        <w:tc>
          <w:tcPr>
            <w:tcW w:w="1403" w:type="dxa"/>
            <w:vAlign w:val="center"/>
          </w:tcPr>
          <w:p w14:paraId="141B69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19"/>
                <w:szCs w:val="19"/>
              </w:rPr>
            </w:pPr>
            <w:r>
              <w:rPr>
                <w:rFonts w:hint="eastAsia" w:cs="Times New Roman"/>
                <w:sz w:val="20"/>
                <w:szCs w:val="20"/>
              </w:rPr>
              <w:t>在试卷中，对各知识单元的掌握程度不到预期学习结果，错误率在</w:t>
            </w:r>
            <w:r>
              <w:rPr>
                <w:rFonts w:cs="Times New Roman"/>
                <w:sz w:val="20"/>
                <w:szCs w:val="20"/>
              </w:rPr>
              <w:t>40%</w:t>
            </w:r>
            <w:r>
              <w:rPr>
                <w:rFonts w:hint="eastAsia" w:cs="Times New Roman"/>
                <w:sz w:val="20"/>
                <w:szCs w:val="20"/>
              </w:rPr>
              <w:t>以上。</w:t>
            </w:r>
          </w:p>
        </w:tc>
      </w:tr>
      <w:tr w14:paraId="193DB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5B423D7">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X2</w:t>
            </w:r>
          </w:p>
        </w:tc>
        <w:tc>
          <w:tcPr>
            <w:tcW w:w="648" w:type="dxa"/>
            <w:vAlign w:val="center"/>
          </w:tcPr>
          <w:p w14:paraId="6ACFAC2B">
            <w:pPr>
              <w:widowControl w:val="0"/>
              <w:snapToGrid w:val="0"/>
              <w:jc w:val="center"/>
              <w:rPr>
                <w:rFonts w:ascii="Times New Roman" w:hAnsi="Times New Roman" w:eastAsia="黑体" w:cs="Times New Roman"/>
                <w:bCs/>
                <w:sz w:val="21"/>
                <w:szCs w:val="21"/>
              </w:rPr>
            </w:pPr>
            <w:r>
              <w:rPr>
                <w:rFonts w:hint="eastAsia" w:ascii="Times New Roman" w:hAnsi="Times New Roman" w:eastAsia="黑体" w:cs="Times New Roman"/>
                <w:bCs/>
                <w:sz w:val="21"/>
                <w:szCs w:val="21"/>
              </w:rPr>
              <w:t>2、3</w:t>
            </w:r>
          </w:p>
        </w:tc>
        <w:tc>
          <w:tcPr>
            <w:tcW w:w="1559" w:type="dxa"/>
            <w:vAlign w:val="center"/>
          </w:tcPr>
          <w:p w14:paraId="3C0CE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20"/>
                <w:szCs w:val="20"/>
              </w:rPr>
            </w:pPr>
            <w:r>
              <w:rPr>
                <w:rFonts w:hint="eastAsia" w:cs="Times New Roman"/>
                <w:bCs/>
                <w:sz w:val="20"/>
                <w:szCs w:val="20"/>
              </w:rPr>
              <w:t>掌握课文出现的语法现象和单词词汇。能看懂使用新语法表达的日语文章，能运用所学的词汇及语法结构进行造句和翻译，能对所学的语法现象进行分析，比较近义表达等。</w:t>
            </w:r>
          </w:p>
        </w:tc>
        <w:tc>
          <w:tcPr>
            <w:tcW w:w="1418" w:type="dxa"/>
            <w:vAlign w:val="center"/>
          </w:tcPr>
          <w:p w14:paraId="57432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20"/>
                <w:szCs w:val="20"/>
              </w:rPr>
            </w:pPr>
            <w:r>
              <w:rPr>
                <w:rFonts w:hint="eastAsia" w:cs="Times New Roman"/>
                <w:sz w:val="20"/>
                <w:szCs w:val="20"/>
              </w:rPr>
              <w:t>在试卷中，对各知识单元的掌握程度全面达到预期学习结果，错误率在1</w:t>
            </w:r>
            <w:r>
              <w:rPr>
                <w:rFonts w:cs="Times New Roman"/>
                <w:sz w:val="20"/>
                <w:szCs w:val="20"/>
              </w:rPr>
              <w:t>0%</w:t>
            </w:r>
            <w:r>
              <w:rPr>
                <w:rFonts w:hint="eastAsia" w:cs="Times New Roman"/>
                <w:sz w:val="20"/>
                <w:szCs w:val="20"/>
              </w:rPr>
              <w:t>以下。</w:t>
            </w:r>
          </w:p>
        </w:tc>
        <w:tc>
          <w:tcPr>
            <w:tcW w:w="1417" w:type="dxa"/>
            <w:vAlign w:val="center"/>
          </w:tcPr>
          <w:p w14:paraId="463CAA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20"/>
                <w:szCs w:val="20"/>
              </w:rPr>
            </w:pPr>
            <w:r>
              <w:rPr>
                <w:rFonts w:hint="eastAsia" w:cs="Times New Roman"/>
                <w:sz w:val="20"/>
                <w:szCs w:val="20"/>
              </w:rPr>
              <w:t>在试卷中，对各知识单元的掌握程度较好达到预期学习结果，错误率在</w:t>
            </w:r>
            <w:r>
              <w:rPr>
                <w:rFonts w:cs="Times New Roman"/>
                <w:sz w:val="20"/>
                <w:szCs w:val="20"/>
              </w:rPr>
              <w:t>20%</w:t>
            </w:r>
            <w:r>
              <w:rPr>
                <w:rFonts w:hint="eastAsia" w:cs="Times New Roman"/>
                <w:sz w:val="20"/>
                <w:szCs w:val="20"/>
              </w:rPr>
              <w:t>左右。</w:t>
            </w:r>
          </w:p>
        </w:tc>
        <w:tc>
          <w:tcPr>
            <w:tcW w:w="1218" w:type="dxa"/>
            <w:vAlign w:val="center"/>
          </w:tcPr>
          <w:p w14:paraId="205A8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20"/>
                <w:szCs w:val="20"/>
              </w:rPr>
            </w:pPr>
            <w:r>
              <w:rPr>
                <w:rFonts w:hint="eastAsia" w:cs="Times New Roman"/>
                <w:sz w:val="20"/>
                <w:szCs w:val="20"/>
              </w:rPr>
              <w:t>在试卷中，对各知识单元的掌握程度基本达到预期学习结果，错误率在</w:t>
            </w:r>
            <w:r>
              <w:rPr>
                <w:rFonts w:cs="Times New Roman"/>
                <w:sz w:val="20"/>
                <w:szCs w:val="20"/>
              </w:rPr>
              <w:t>30%</w:t>
            </w:r>
            <w:r>
              <w:rPr>
                <w:rFonts w:hint="eastAsia" w:cs="Times New Roman"/>
                <w:sz w:val="20"/>
                <w:szCs w:val="20"/>
              </w:rPr>
              <w:t>左右。</w:t>
            </w:r>
          </w:p>
        </w:tc>
        <w:tc>
          <w:tcPr>
            <w:tcW w:w="1403" w:type="dxa"/>
            <w:vAlign w:val="center"/>
          </w:tcPr>
          <w:p w14:paraId="4AFAF9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20"/>
                <w:szCs w:val="20"/>
              </w:rPr>
            </w:pPr>
            <w:r>
              <w:rPr>
                <w:rFonts w:hint="eastAsia" w:cs="Times New Roman"/>
                <w:sz w:val="20"/>
                <w:szCs w:val="20"/>
              </w:rPr>
              <w:t>在试卷中，对各知识单元的掌握程度不到预期学习结果，错误率在</w:t>
            </w:r>
            <w:r>
              <w:rPr>
                <w:rFonts w:cs="Times New Roman"/>
                <w:sz w:val="20"/>
                <w:szCs w:val="20"/>
              </w:rPr>
              <w:t>40%</w:t>
            </w:r>
            <w:r>
              <w:rPr>
                <w:rFonts w:hint="eastAsia" w:cs="Times New Roman"/>
                <w:sz w:val="20"/>
                <w:szCs w:val="20"/>
              </w:rPr>
              <w:t>以上。</w:t>
            </w:r>
          </w:p>
        </w:tc>
      </w:tr>
      <w:tr w14:paraId="3CE0E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0477A99">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X3</w:t>
            </w:r>
          </w:p>
        </w:tc>
        <w:tc>
          <w:tcPr>
            <w:tcW w:w="648" w:type="dxa"/>
            <w:vAlign w:val="center"/>
          </w:tcPr>
          <w:p w14:paraId="01372291">
            <w:pPr>
              <w:widowControl w:val="0"/>
              <w:snapToGrid w:val="0"/>
              <w:jc w:val="center"/>
              <w:rPr>
                <w:rFonts w:ascii="Times New Roman" w:hAnsi="Times New Roman" w:eastAsia="黑体" w:cs="Times New Roman"/>
                <w:bCs/>
                <w:sz w:val="21"/>
                <w:szCs w:val="21"/>
              </w:rPr>
            </w:pPr>
            <w:r>
              <w:rPr>
                <w:rFonts w:hint="eastAsia" w:ascii="Times New Roman" w:hAnsi="Times New Roman" w:eastAsia="黑体" w:cs="Times New Roman"/>
                <w:bCs/>
                <w:sz w:val="21"/>
                <w:szCs w:val="21"/>
              </w:rPr>
              <w:t>5</w:t>
            </w:r>
          </w:p>
        </w:tc>
        <w:tc>
          <w:tcPr>
            <w:tcW w:w="1559" w:type="dxa"/>
            <w:vAlign w:val="center"/>
          </w:tcPr>
          <w:p w14:paraId="3B35C6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19"/>
                <w:szCs w:val="19"/>
              </w:rPr>
            </w:pPr>
            <w:r>
              <w:rPr>
                <w:rFonts w:hint="eastAsia" w:ascii="Times New Roman" w:hAnsi="Times New Roman" w:cs="Times New Roman" w:eastAsiaTheme="minorEastAsia"/>
                <w:color w:val="000000"/>
                <w:sz w:val="19"/>
                <w:szCs w:val="19"/>
              </w:rPr>
              <w:t>掌握课文短文及会话的正确发音，能跟录音进行朗读或二人一组进行对话。能够活学活用课文的内容和语句，围绕课文主题用日语进行交流与表达。</w:t>
            </w:r>
          </w:p>
        </w:tc>
        <w:tc>
          <w:tcPr>
            <w:tcW w:w="1418" w:type="dxa"/>
            <w:vAlign w:val="center"/>
          </w:tcPr>
          <w:p w14:paraId="19019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19"/>
                <w:szCs w:val="19"/>
              </w:rPr>
            </w:pPr>
            <w:r>
              <w:rPr>
                <w:rFonts w:hint="eastAsia" w:cs="Times New Roman"/>
                <w:sz w:val="20"/>
                <w:szCs w:val="20"/>
              </w:rPr>
              <w:t>在考核对话中，对各知识单元的掌握程度全面达到预期学习结果，错误率在1</w:t>
            </w:r>
            <w:r>
              <w:rPr>
                <w:rFonts w:cs="Times New Roman"/>
                <w:sz w:val="20"/>
                <w:szCs w:val="20"/>
              </w:rPr>
              <w:t>0%</w:t>
            </w:r>
            <w:r>
              <w:rPr>
                <w:rFonts w:hint="eastAsia" w:cs="Times New Roman"/>
                <w:sz w:val="20"/>
                <w:szCs w:val="20"/>
              </w:rPr>
              <w:t>以下。</w:t>
            </w:r>
          </w:p>
        </w:tc>
        <w:tc>
          <w:tcPr>
            <w:tcW w:w="1417" w:type="dxa"/>
            <w:vAlign w:val="center"/>
          </w:tcPr>
          <w:p w14:paraId="6CC5C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19"/>
                <w:szCs w:val="19"/>
              </w:rPr>
            </w:pPr>
            <w:r>
              <w:rPr>
                <w:rFonts w:hint="eastAsia" w:cs="Times New Roman"/>
                <w:sz w:val="20"/>
                <w:szCs w:val="20"/>
              </w:rPr>
              <w:t>在考核对话中，对各知识单元的掌握程度较好达到预期学习结果，错误率在</w:t>
            </w:r>
            <w:r>
              <w:rPr>
                <w:rFonts w:cs="Times New Roman"/>
                <w:sz w:val="20"/>
                <w:szCs w:val="20"/>
              </w:rPr>
              <w:t>20%</w:t>
            </w:r>
            <w:r>
              <w:rPr>
                <w:rFonts w:hint="eastAsia" w:cs="Times New Roman"/>
                <w:sz w:val="20"/>
                <w:szCs w:val="20"/>
              </w:rPr>
              <w:t>左右。</w:t>
            </w:r>
          </w:p>
        </w:tc>
        <w:tc>
          <w:tcPr>
            <w:tcW w:w="1218" w:type="dxa"/>
            <w:vAlign w:val="center"/>
          </w:tcPr>
          <w:p w14:paraId="7AB543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19"/>
                <w:szCs w:val="19"/>
              </w:rPr>
            </w:pPr>
            <w:r>
              <w:rPr>
                <w:rFonts w:hint="eastAsia" w:cs="Times New Roman"/>
                <w:sz w:val="20"/>
                <w:szCs w:val="20"/>
              </w:rPr>
              <w:t>在考核对话中，对各知识单元的掌握程度基本达到预期学习结果，错误率在</w:t>
            </w:r>
            <w:r>
              <w:rPr>
                <w:rFonts w:cs="Times New Roman"/>
                <w:sz w:val="20"/>
                <w:szCs w:val="20"/>
              </w:rPr>
              <w:t>30%</w:t>
            </w:r>
            <w:r>
              <w:rPr>
                <w:rFonts w:hint="eastAsia" w:cs="Times New Roman"/>
                <w:sz w:val="20"/>
                <w:szCs w:val="20"/>
              </w:rPr>
              <w:t>左右。</w:t>
            </w:r>
          </w:p>
        </w:tc>
        <w:tc>
          <w:tcPr>
            <w:tcW w:w="1403" w:type="dxa"/>
            <w:vAlign w:val="center"/>
          </w:tcPr>
          <w:p w14:paraId="16E3D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eastAsiaTheme="minorEastAsia"/>
                <w:color w:val="000000"/>
                <w:sz w:val="19"/>
                <w:szCs w:val="19"/>
              </w:rPr>
            </w:pPr>
            <w:r>
              <w:rPr>
                <w:rFonts w:hint="eastAsia" w:cs="Times New Roman"/>
                <w:sz w:val="20"/>
                <w:szCs w:val="20"/>
              </w:rPr>
              <w:t>在考核对话中，对各知识单元的掌握程度不到预期学习结果，错误率在</w:t>
            </w:r>
            <w:r>
              <w:rPr>
                <w:rFonts w:cs="Times New Roman"/>
                <w:sz w:val="20"/>
                <w:szCs w:val="20"/>
              </w:rPr>
              <w:t>40%</w:t>
            </w:r>
            <w:r>
              <w:rPr>
                <w:rFonts w:hint="eastAsia" w:cs="Times New Roman"/>
                <w:sz w:val="20"/>
                <w:szCs w:val="20"/>
              </w:rPr>
              <w:t>以上。</w:t>
            </w:r>
          </w:p>
        </w:tc>
      </w:tr>
    </w:tbl>
    <w:p w14:paraId="1B44C142">
      <w:pPr>
        <w:pStyle w:val="17"/>
        <w:spacing w:before="326" w:beforeLines="100" w:line="360" w:lineRule="auto"/>
        <w:rPr>
          <w:rFonts w:ascii="Times New Roman" w:hAnsi="Times New Roman" w:cs="Times New Roman"/>
        </w:rPr>
      </w:pPr>
      <w:r>
        <w:rPr>
          <w:rFonts w:ascii="Times New Roman" w:hAnsi="Times New Roman" w:cs="Times New Roman"/>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2A0B7E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7B6C862">
            <w:pPr>
              <w:pStyle w:val="15"/>
            </w:pPr>
          </w:p>
          <w:p w14:paraId="7A323569">
            <w:pPr>
              <w:pStyle w:val="15"/>
            </w:pPr>
          </w:p>
          <w:p w14:paraId="7337E6DE">
            <w:pPr>
              <w:pStyle w:val="15"/>
            </w:pPr>
          </w:p>
        </w:tc>
      </w:tr>
    </w:tbl>
    <w:p w14:paraId="2ABAF580">
      <w:pPr>
        <w:pStyle w:val="17"/>
        <w:rPr>
          <w:rFonts w:ascii="Times New Roman" w:hAnsi="Times New Roman" w:cs="Times New Roman"/>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8373B">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2C0CA5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2C0CA5D">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YjA0YjYzMGY3M2Y3OTczMTlhMjNhNjhmMmM1MGQifQ=="/>
  </w:docVars>
  <w:rsids>
    <w:rsidRoot w:val="00B7651F"/>
    <w:rsid w:val="000203E0"/>
    <w:rsid w:val="000210E0"/>
    <w:rsid w:val="00033082"/>
    <w:rsid w:val="0003621A"/>
    <w:rsid w:val="00044088"/>
    <w:rsid w:val="00053590"/>
    <w:rsid w:val="0006001D"/>
    <w:rsid w:val="00066041"/>
    <w:rsid w:val="00076794"/>
    <w:rsid w:val="0008122A"/>
    <w:rsid w:val="00086511"/>
    <w:rsid w:val="00087488"/>
    <w:rsid w:val="0009050A"/>
    <w:rsid w:val="00091CE8"/>
    <w:rsid w:val="00095898"/>
    <w:rsid w:val="0009721F"/>
    <w:rsid w:val="000A4E73"/>
    <w:rsid w:val="000B1BD2"/>
    <w:rsid w:val="000C0F0D"/>
    <w:rsid w:val="000C13BC"/>
    <w:rsid w:val="000D28E5"/>
    <w:rsid w:val="000D34D7"/>
    <w:rsid w:val="00100633"/>
    <w:rsid w:val="001072BC"/>
    <w:rsid w:val="00114BD6"/>
    <w:rsid w:val="00123009"/>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68C5"/>
    <w:rsid w:val="002877FA"/>
    <w:rsid w:val="00290962"/>
    <w:rsid w:val="0029110B"/>
    <w:rsid w:val="002A4649"/>
    <w:rsid w:val="002A7227"/>
    <w:rsid w:val="002B0773"/>
    <w:rsid w:val="002B0C48"/>
    <w:rsid w:val="002B13CA"/>
    <w:rsid w:val="002B3650"/>
    <w:rsid w:val="002B7322"/>
    <w:rsid w:val="002B7F2B"/>
    <w:rsid w:val="002C58B6"/>
    <w:rsid w:val="002D0E86"/>
    <w:rsid w:val="002D7C47"/>
    <w:rsid w:val="002E33CE"/>
    <w:rsid w:val="002E3721"/>
    <w:rsid w:val="002E6F95"/>
    <w:rsid w:val="002E764D"/>
    <w:rsid w:val="002F3157"/>
    <w:rsid w:val="002F6BD5"/>
    <w:rsid w:val="002F7A99"/>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77F3B"/>
    <w:rsid w:val="00384A1F"/>
    <w:rsid w:val="00384D60"/>
    <w:rsid w:val="00385D41"/>
    <w:rsid w:val="003861BA"/>
    <w:rsid w:val="003A1680"/>
    <w:rsid w:val="003A373C"/>
    <w:rsid w:val="003A5874"/>
    <w:rsid w:val="003B1258"/>
    <w:rsid w:val="003B4A81"/>
    <w:rsid w:val="003C1F8D"/>
    <w:rsid w:val="003C61A5"/>
    <w:rsid w:val="003D1968"/>
    <w:rsid w:val="003D4994"/>
    <w:rsid w:val="003D5283"/>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3CF9"/>
    <w:rsid w:val="00437B60"/>
    <w:rsid w:val="004405E6"/>
    <w:rsid w:val="00443C84"/>
    <w:rsid w:val="00443C89"/>
    <w:rsid w:val="004540AA"/>
    <w:rsid w:val="00454BD6"/>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0184"/>
    <w:rsid w:val="005A01C7"/>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0923"/>
    <w:rsid w:val="0066595A"/>
    <w:rsid w:val="00666206"/>
    <w:rsid w:val="00672788"/>
    <w:rsid w:val="00676183"/>
    <w:rsid w:val="00680DA3"/>
    <w:rsid w:val="0068377F"/>
    <w:rsid w:val="00691B24"/>
    <w:rsid w:val="00692B16"/>
    <w:rsid w:val="00695B93"/>
    <w:rsid w:val="00697C16"/>
    <w:rsid w:val="006A5A89"/>
    <w:rsid w:val="006B3BB9"/>
    <w:rsid w:val="006B48AC"/>
    <w:rsid w:val="006B5977"/>
    <w:rsid w:val="006B6543"/>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16B27"/>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40C"/>
    <w:rsid w:val="008D3D5F"/>
    <w:rsid w:val="008D4E81"/>
    <w:rsid w:val="008D505F"/>
    <w:rsid w:val="008E0F55"/>
    <w:rsid w:val="008E122A"/>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71CA7"/>
    <w:rsid w:val="00981A37"/>
    <w:rsid w:val="0098283B"/>
    <w:rsid w:val="009830B2"/>
    <w:rsid w:val="0098768D"/>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2C1B"/>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5645"/>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2AB8"/>
    <w:rsid w:val="00D343A8"/>
    <w:rsid w:val="00D37832"/>
    <w:rsid w:val="00D44860"/>
    <w:rsid w:val="00D47689"/>
    <w:rsid w:val="00D50C42"/>
    <w:rsid w:val="00D57CF5"/>
    <w:rsid w:val="00D612BC"/>
    <w:rsid w:val="00D62F98"/>
    <w:rsid w:val="00D63337"/>
    <w:rsid w:val="00D66FD6"/>
    <w:rsid w:val="00D7533E"/>
    <w:rsid w:val="00D8285B"/>
    <w:rsid w:val="00D862EB"/>
    <w:rsid w:val="00D86619"/>
    <w:rsid w:val="00D8703A"/>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36FE"/>
    <w:rsid w:val="00FC7489"/>
    <w:rsid w:val="00FD1BA8"/>
    <w:rsid w:val="00FD218F"/>
    <w:rsid w:val="00FD5663"/>
    <w:rsid w:val="00FD56C6"/>
    <w:rsid w:val="00FE3221"/>
    <w:rsid w:val="00FE48EA"/>
    <w:rsid w:val="00FE571F"/>
    <w:rsid w:val="00FF0A33"/>
    <w:rsid w:val="00FF47F6"/>
    <w:rsid w:val="016E63C2"/>
    <w:rsid w:val="024B0C39"/>
    <w:rsid w:val="097C485D"/>
    <w:rsid w:val="0A8128A6"/>
    <w:rsid w:val="0BF32A1B"/>
    <w:rsid w:val="10BD2C22"/>
    <w:rsid w:val="18E25BBF"/>
    <w:rsid w:val="1926632B"/>
    <w:rsid w:val="22987C80"/>
    <w:rsid w:val="24192CCC"/>
    <w:rsid w:val="30FA5440"/>
    <w:rsid w:val="395E05DC"/>
    <w:rsid w:val="39A66CD4"/>
    <w:rsid w:val="3CD52CE1"/>
    <w:rsid w:val="3EDA1867"/>
    <w:rsid w:val="410F2E6A"/>
    <w:rsid w:val="4430136C"/>
    <w:rsid w:val="4AB0382B"/>
    <w:rsid w:val="569868B5"/>
    <w:rsid w:val="611F6817"/>
    <w:rsid w:val="65BE6B9C"/>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alloon Text"/>
    <w:basedOn w:val="1"/>
    <w:link w:val="25"/>
    <w:autoRedefine/>
    <w:semiHidden/>
    <w:unhideWhenUsed/>
    <w:qFormat/>
    <w:uiPriority w:val="99"/>
    <w:pPr>
      <w:widowControl w:val="0"/>
      <w:jc w:val="both"/>
    </w:pPr>
    <w:rPr>
      <w:rFonts w:asciiTheme="minorHAnsi" w:hAnsiTheme="minorHAnsi" w:eastAsiaTheme="minorEastAsia" w:cstheme="minorBidi"/>
      <w:kern w:val="2"/>
      <w:sz w:val="18"/>
      <w:szCs w:val="18"/>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widowControl w:val="0"/>
      <w:jc w:val="center"/>
    </w:pPr>
    <w:rPr>
      <w:rFonts w:cs="Times New Roman" w:asciiTheme="majorEastAsia" w:hAnsiTheme="majorEastAsia" w:eastAsiaTheme="majorEastAsia"/>
      <w:color w:val="000000"/>
      <w:sz w:val="21"/>
      <w:szCs w:val="20"/>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table" w:customStyle="1" w:styleId="24">
    <w:name w:val="网格型1"/>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批注框文本 字符"/>
    <w:basedOn w:val="10"/>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1138</Words>
  <Characters>1221</Characters>
  <Lines>41</Lines>
  <Paragraphs>11</Paragraphs>
  <TotalTime>4</TotalTime>
  <ScaleCrop>false</ScaleCrop>
  <LinksUpToDate>false</LinksUpToDate>
  <CharactersWithSpaces>1232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Lccccc</cp:lastModifiedBy>
  <cp:lastPrinted>2023-11-21T00:52:00Z</cp:lastPrinted>
  <dcterms:modified xsi:type="dcterms:W3CDTF">2025-03-10T01:55:55Z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886AA94FCA304DB5A97DDC484F55BEC3_12</vt:lpwstr>
  </property>
  <property fmtid="{D5CDD505-2E9C-101B-9397-08002B2CF9AE}" pid="4" name="KSOTemplateDocerSaveRecord">
    <vt:lpwstr>eyJoZGlkIjoiNzY4Y2I1NTk5MjlkMjA0NzVhYjliNTg4MjA4YTg1NGQiLCJ1c2VySWQiOiI3MTcwMDE4NTYifQ==</vt:lpwstr>
  </property>
</Properties>
</file>